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4AC" w:rsidRDefault="005B24AC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ЧАУССКОГО РАЙОННОГО СОВЕТА ДЕПУТАТОВ</w:t>
      </w:r>
    </w:p>
    <w:p w:rsidR="005B24AC" w:rsidRDefault="005B24AC">
      <w:pPr>
        <w:pStyle w:val="newncpi"/>
        <w:ind w:firstLine="0"/>
        <w:jc w:val="center"/>
      </w:pPr>
      <w:r>
        <w:rPr>
          <w:rStyle w:val="datepr"/>
        </w:rPr>
        <w:t>26 февраля 2026 г.</w:t>
      </w:r>
      <w:r>
        <w:rPr>
          <w:rStyle w:val="number"/>
        </w:rPr>
        <w:t xml:space="preserve"> № 25-16</w:t>
      </w:r>
    </w:p>
    <w:p w:rsidR="005B24AC" w:rsidRDefault="005B24AC">
      <w:pPr>
        <w:pStyle w:val="titlencpi"/>
        <w:ind w:right="2692"/>
      </w:pPr>
      <w:r>
        <w:t>Об изменении решения Чаусского районного Совета депутатов от 30 декабря 2025 г. № 22-1</w:t>
      </w:r>
      <w:bookmarkStart w:id="0" w:name="_GoBack"/>
      <w:bookmarkEnd w:id="0"/>
    </w:p>
    <w:p w:rsidR="005B24AC" w:rsidRDefault="005B24AC">
      <w:pPr>
        <w:pStyle w:val="preamble"/>
      </w:pPr>
      <w:r>
        <w:t>На основании пункта 2 статьи 122 Бюджетного кодекса Республики Беларусь Чаусский районный Совет депутатов РЕШИЛ:</w:t>
      </w:r>
    </w:p>
    <w:p w:rsidR="005B24AC" w:rsidRDefault="005B24AC">
      <w:pPr>
        <w:pStyle w:val="point"/>
      </w:pPr>
      <w:r>
        <w:t>1. Внести в решение Чаусского районного Совета депутатов от 30 декабря 2025 г. № 22-1 «О районном бюджете на 2026 год» следующие изменения:</w:t>
      </w:r>
    </w:p>
    <w:p w:rsidR="005B24AC" w:rsidRDefault="005B24AC">
      <w:pPr>
        <w:pStyle w:val="underpoint"/>
      </w:pPr>
      <w:r>
        <w:t>1.1. пункт 1 изложить в следующей редакции:</w:t>
      </w:r>
    </w:p>
    <w:p w:rsidR="005B24AC" w:rsidRDefault="005B24AC">
      <w:pPr>
        <w:pStyle w:val="point"/>
      </w:pPr>
      <w:r>
        <w:rPr>
          <w:rStyle w:val="rednoun"/>
        </w:rPr>
        <w:t>«</w:t>
      </w:r>
      <w:r>
        <w:t>1. Утвердить районный бюджет на 2026 год по расходам в сумме 76 180 516,81 белорусского рубля (далее – рубль) исходя из прогнозируемого объема доходов в сумме 75 675 047,31 рубля.</w:t>
      </w:r>
    </w:p>
    <w:p w:rsidR="005B24AC" w:rsidRDefault="005B24AC">
      <w:pPr>
        <w:pStyle w:val="newncpi"/>
      </w:pPr>
      <w:r>
        <w:t>Установить максимальный размер дефицита районного бюджета на 2026 год в сумме 505 469,50 рубля и источники его финансирования согласно приложению 1.</w:t>
      </w:r>
      <w:r>
        <w:rPr>
          <w:rStyle w:val="rednoun"/>
        </w:rPr>
        <w:t>»</w:t>
      </w:r>
      <w:r>
        <w:t>;</w:t>
      </w:r>
    </w:p>
    <w:p w:rsidR="005B24AC" w:rsidRDefault="005B24AC">
      <w:pPr>
        <w:pStyle w:val="underpoint"/>
      </w:pPr>
      <w:r>
        <w:t>1.2. в пункте 3:</w:t>
      </w:r>
    </w:p>
    <w:p w:rsidR="005B24AC" w:rsidRDefault="005B24AC">
      <w:pPr>
        <w:pStyle w:val="newncpi"/>
      </w:pPr>
      <w:r>
        <w:t>в абзаце втором цифры «74 974 661,00» заменить цифрами «75 675 047,31»;</w:t>
      </w:r>
    </w:p>
    <w:p w:rsidR="005B24AC" w:rsidRDefault="005B24AC">
      <w:pPr>
        <w:pStyle w:val="newncpi"/>
      </w:pPr>
      <w:r>
        <w:t>в абзаце третьем цифры «74 797 061,00» заменить цифрами «76 180 516,81»;</w:t>
      </w:r>
    </w:p>
    <w:p w:rsidR="005B24AC" w:rsidRDefault="005B24AC">
      <w:pPr>
        <w:pStyle w:val="newncpi"/>
      </w:pPr>
      <w:r>
        <w:t>после абзаца четвертого дополнить пункт абзацем следующего содержания:</w:t>
      </w:r>
    </w:p>
    <w:p w:rsidR="005B24AC" w:rsidRDefault="005B24AC">
      <w:pPr>
        <w:pStyle w:val="newncpi"/>
      </w:pPr>
      <w:r>
        <w:t>«перечень государственных программ и подпрограмм, финансирование которых предусматривается за счет средств районного бюджета, в разрезе ведомственной классификации расходов районного бюджета и функциональной классификации расходов бюджета согласно приложению 5</w:t>
      </w:r>
      <w:r>
        <w:rPr>
          <w:vertAlign w:val="superscript"/>
        </w:rPr>
        <w:t>1</w:t>
      </w:r>
      <w:r>
        <w:t>;»;</w:t>
      </w:r>
    </w:p>
    <w:p w:rsidR="005B24AC" w:rsidRDefault="005B24AC">
      <w:pPr>
        <w:pStyle w:val="underpoint"/>
      </w:pPr>
      <w:r>
        <w:t>1.3. подпункт 10.1 пункта 10 изложить в следующей редакции:</w:t>
      </w:r>
    </w:p>
    <w:p w:rsidR="005B24AC" w:rsidRDefault="005B24AC">
      <w:pPr>
        <w:pStyle w:val="underpoint"/>
      </w:pPr>
      <w:r>
        <w:rPr>
          <w:rStyle w:val="rednoun"/>
        </w:rPr>
        <w:t>«</w:t>
      </w:r>
      <w:r>
        <w:t>10.1. максимальные размеры дефицита бюджетов сельсоветов на конец года составляют: Антоновского – 18 535,11 рубля, Каменского – 11 293,58 рубля, Войниловского – 15 204,18 рубля, Волковичского – 22 147,47 рубля, Горбовичского – 36 821,72 рубля, Осиновского – 17 115,66 рубля, Радомльского – 14 042,33 рубля;</w:t>
      </w:r>
      <w:r>
        <w:rPr>
          <w:rStyle w:val="rednoun"/>
        </w:rPr>
        <w:t>»</w:t>
      </w:r>
      <w:r>
        <w:t>;</w:t>
      </w:r>
    </w:p>
    <w:p w:rsidR="005B24AC" w:rsidRDefault="005B24AC">
      <w:pPr>
        <w:pStyle w:val="underpoint"/>
      </w:pPr>
      <w:r>
        <w:t>1.4. приложения 1, 4, 5 к этому решению изложить в новой редакции (прилагается);</w:t>
      </w:r>
    </w:p>
    <w:p w:rsidR="005B24AC" w:rsidRDefault="005B24AC">
      <w:pPr>
        <w:pStyle w:val="underpoint"/>
      </w:pPr>
      <w:r>
        <w:t>1.5. в приложении 3 к этому решению:</w:t>
      </w:r>
    </w:p>
    <w:p w:rsidR="005B24AC" w:rsidRDefault="005B24AC">
      <w:pPr>
        <w:pStyle w:val="newncpi"/>
      </w:pPr>
      <w:r>
        <w:t xml:space="preserve">позиции: 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710"/>
        <w:gridCol w:w="993"/>
        <w:gridCol w:w="426"/>
        <w:gridCol w:w="709"/>
        <w:gridCol w:w="993"/>
        <w:gridCol w:w="1552"/>
      </w:tblGrid>
      <w:tr w:rsidR="005B24AC">
        <w:trPr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«БЕЗВОЗМЕЗДНЫЕ ПОСТУПЛЕНИЯ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50 991 289,00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50 991 289,00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50 451 389,00»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5B24AC" w:rsidRDefault="005B24AC">
      <w:pPr>
        <w:pStyle w:val="newncpi0"/>
      </w:pPr>
      <w:r>
        <w:t>заменить позициями: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710"/>
        <w:gridCol w:w="993"/>
        <w:gridCol w:w="426"/>
        <w:gridCol w:w="709"/>
        <w:gridCol w:w="993"/>
        <w:gridCol w:w="1552"/>
      </w:tblGrid>
      <w:tr w:rsidR="005B24AC">
        <w:trPr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«БЕЗВОЗМЕЗДНЫЕ ПОСТУПЛЕНИЯ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51 691 675,31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51 691 675,31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50 512 889,00»;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5B24AC" w:rsidRDefault="005B24AC">
      <w:pPr>
        <w:pStyle w:val="newncpi"/>
      </w:pPr>
      <w:r>
        <w:t>позиции: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710"/>
        <w:gridCol w:w="993"/>
        <w:gridCol w:w="426"/>
        <w:gridCol w:w="709"/>
        <w:gridCol w:w="993"/>
        <w:gridCol w:w="1552"/>
      </w:tblGrid>
      <w:tr w:rsidR="005B24AC">
        <w:trPr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«Иные межбюджетные трансферты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62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944 903,00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межбюджетные трансферты из вышестоящего бюджета нижестоящему бюджету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944 903,00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Капитальные безвозмездные поступления от других бюджетов бюджетной системы Республики Беларусь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539 900,00»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5B24AC" w:rsidRDefault="005B24AC">
      <w:pPr>
        <w:pStyle w:val="newncpi0"/>
      </w:pPr>
      <w:r>
        <w:t>заменить позициями: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710"/>
        <w:gridCol w:w="993"/>
        <w:gridCol w:w="426"/>
        <w:gridCol w:w="709"/>
        <w:gridCol w:w="993"/>
        <w:gridCol w:w="1552"/>
      </w:tblGrid>
      <w:tr w:rsidR="005B24AC">
        <w:trPr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«Иные межбюджетные трансферты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62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1 006 403,00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межбюджетные трансферты из вышестоящего бюджета нижестоящему бюджету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1 006 403,00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Капитальные безвозмездные поступления от других бюджетов бюджетной системы Республики Беларусь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1 178 786,31»;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5B24AC" w:rsidRDefault="005B24AC">
      <w:pPr>
        <w:pStyle w:val="newncpi"/>
      </w:pPr>
      <w:r>
        <w:t>позиции: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710"/>
        <w:gridCol w:w="993"/>
        <w:gridCol w:w="426"/>
        <w:gridCol w:w="709"/>
        <w:gridCol w:w="993"/>
        <w:gridCol w:w="1552"/>
      </w:tblGrid>
      <w:tr w:rsidR="005B24AC">
        <w:trPr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«Иные межбюджетные трансферты из нижестоящего бюджета вышестоящему бюджету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443 600,00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ВСЕГО доходов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74 974 661,00»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5B24AC" w:rsidRDefault="005B24AC">
      <w:pPr>
        <w:pStyle w:val="newncpi0"/>
      </w:pPr>
      <w:r>
        <w:t>заменить позициями: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710"/>
        <w:gridCol w:w="993"/>
        <w:gridCol w:w="426"/>
        <w:gridCol w:w="709"/>
        <w:gridCol w:w="993"/>
        <w:gridCol w:w="1552"/>
      </w:tblGrid>
      <w:tr w:rsidR="005B24AC">
        <w:trPr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«Иные межбюджетные трансферты из нижестоящего бюджета вышестоящему бюджету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64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1 082 486,31</w:t>
            </w:r>
          </w:p>
        </w:tc>
      </w:tr>
      <w:tr w:rsidR="005B24AC">
        <w:trPr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ВСЕГО доходов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75 675 047,31»;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5B24AC" w:rsidRDefault="005B24AC">
      <w:pPr>
        <w:pStyle w:val="underpoint"/>
      </w:pPr>
      <w:r>
        <w:t>1.6. дополнить решение приложением 5</w:t>
      </w:r>
      <w:r>
        <w:rPr>
          <w:vertAlign w:val="superscript"/>
        </w:rPr>
        <w:t>1</w:t>
      </w:r>
      <w:r>
        <w:t xml:space="preserve"> (прилагается).</w:t>
      </w:r>
    </w:p>
    <w:p w:rsidR="005B24AC" w:rsidRDefault="005B24AC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5B24AC" w:rsidRDefault="005B24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B24A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newncpi0"/>
              <w:jc w:val="right"/>
            </w:pPr>
            <w:r>
              <w:rPr>
                <w:rStyle w:val="pers"/>
              </w:rPr>
              <w:t>А.О.Матюлин</w:t>
            </w:r>
          </w:p>
        </w:tc>
      </w:tr>
    </w:tbl>
    <w:p w:rsidR="005B24AC" w:rsidRDefault="005B24A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5B24AC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append1"/>
            </w:pPr>
            <w:r>
              <w:t>Приложение 1</w:t>
            </w:r>
          </w:p>
          <w:p w:rsidR="005B24AC" w:rsidRDefault="005B24AC">
            <w:pPr>
              <w:pStyle w:val="append"/>
            </w:pPr>
            <w:r>
              <w:t xml:space="preserve">к решению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 № 22-1 </w:t>
            </w:r>
            <w:r>
              <w:br/>
              <w:t xml:space="preserve">(в редакции решения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26.02.2026 № 25-16) </w:t>
            </w:r>
          </w:p>
        </w:tc>
      </w:tr>
    </w:tbl>
    <w:p w:rsidR="005B24AC" w:rsidRDefault="005B24AC">
      <w:pPr>
        <w:pStyle w:val="titlep"/>
        <w:jc w:val="left"/>
      </w:pPr>
      <w:r>
        <w:t>ИСТОЧНИКИ</w:t>
      </w:r>
      <w:r>
        <w:br/>
        <w:t>финансирования профицита районного бюджета</w:t>
      </w:r>
    </w:p>
    <w:p w:rsidR="005B24AC" w:rsidRDefault="005B24AC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424"/>
        <w:gridCol w:w="993"/>
        <w:gridCol w:w="993"/>
        <w:gridCol w:w="1221"/>
        <w:gridCol w:w="1467"/>
      </w:tblGrid>
      <w:tr w:rsidR="005B24AC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Источник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Тип источника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Детализация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Сумма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ОБЩЕЕ ФИНАНСИРОВАНИЕ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505 469,50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ВНУТРЕННЕЕ ФИНАНСИРОВАНИЕ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505 469,50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Источники, получаемые от банков, иных юридических и физических лиц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–177 600,00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Ценные бумаги, эмитируемые местными исполнительными и распорядительными органами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–177 600,00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погашение основного долга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–177 600,00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Изменение остатков средств бюджета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683 069,50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Остатки на начало отчетного периода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1 395 539,5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Остатки на конец отчетного периода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712 470,00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0,00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–100 000,00</w:t>
            </w:r>
          </w:p>
        </w:tc>
      </w:tr>
      <w:tr w:rsidR="005B24AC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возврат сумм, выплаченных Правительством Республики Беларусь, местными исполнительными и распорядительными органами в счет выполнения гарантий по кредитам, выданным банками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100 000,00</w:t>
            </w:r>
          </w:p>
        </w:tc>
      </w:tr>
    </w:tbl>
    <w:p w:rsidR="005B24AC" w:rsidRDefault="005B24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5B24AC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append1"/>
            </w:pPr>
            <w:r>
              <w:t>Приложение 4</w:t>
            </w:r>
          </w:p>
          <w:p w:rsidR="005B24AC" w:rsidRDefault="005B24AC">
            <w:pPr>
              <w:pStyle w:val="append"/>
            </w:pPr>
            <w:r>
              <w:t xml:space="preserve">к решению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 № 22-1 </w:t>
            </w:r>
            <w:r>
              <w:br/>
              <w:t xml:space="preserve">(в редакции решения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26.02.2026 № 25-16) </w:t>
            </w:r>
          </w:p>
        </w:tc>
      </w:tr>
    </w:tbl>
    <w:p w:rsidR="005B24AC" w:rsidRDefault="005B24AC">
      <w:pPr>
        <w:pStyle w:val="titlep"/>
        <w:jc w:val="left"/>
      </w:pPr>
      <w:r>
        <w:t>РАСХОДЫ</w:t>
      </w:r>
      <w:r>
        <w:br/>
        <w:t>районного бюджета по функциональной классификации расходов бюджета по разделам, подразделам и видам</w:t>
      </w:r>
    </w:p>
    <w:p w:rsidR="005B24AC" w:rsidRDefault="005B24AC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6"/>
        <w:gridCol w:w="712"/>
        <w:gridCol w:w="1051"/>
        <w:gridCol w:w="505"/>
        <w:gridCol w:w="1413"/>
      </w:tblGrid>
      <w:tr w:rsidR="005B24AC">
        <w:trPr>
          <w:trHeight w:val="240"/>
        </w:trPr>
        <w:tc>
          <w:tcPr>
            <w:tcW w:w="30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Сумма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9 966 620,48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5 105 993,48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 xml:space="preserve">5 062 668,48 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43 325,00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24 393,00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24 393,00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Резервные фонды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158 547,00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Фонд финансирования расходов, связанных со стихийными бедствиями, авариями и катастрофами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16 601,00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141 946,00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4 270 085,00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4 270 085,00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407 602,00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407 602,00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29 280,00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29 280,00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3 283 547,00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1 315 668,00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1 290 693,00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24 975,00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Промышленность, строительство и архитектура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290 000,00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Транспорт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938 469,00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927 066,00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11 403,00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731 494,00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7 916,00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7 916,00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40 617,30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40 617,30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13 387 570,03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236 389,31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7 978 707,08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5 014 658,64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157 815,00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ЗДРАВООХРАНЕНИЕ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15 066 229,00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15 066 229,00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5 734 996,00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2 181 151,00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2 181 151,00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Культура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3 522 945,00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Культура и искусство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3 522 945,00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30 900,00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30 900,00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ОБРАЗОВАНИЕ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24 135 355,00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5 095 353,00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16 889 906,00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1 692 890,00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457 206,00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4 536 302,00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защита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3 345 105,00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6 324,00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44 000,00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1 140 873,00</w:t>
            </w:r>
          </w:p>
        </w:tc>
      </w:tr>
      <w:tr w:rsidR="005B24AC">
        <w:trPr>
          <w:trHeight w:val="240"/>
        </w:trPr>
        <w:tc>
          <w:tcPr>
            <w:tcW w:w="30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ВСЕГО расходов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76 180 516,81</w:t>
            </w:r>
          </w:p>
        </w:tc>
      </w:tr>
    </w:tbl>
    <w:p w:rsidR="005B24AC" w:rsidRDefault="005B24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5B24AC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append1"/>
            </w:pPr>
            <w:r>
              <w:t>Приложение 5</w:t>
            </w:r>
          </w:p>
          <w:p w:rsidR="005B24AC" w:rsidRDefault="005B24AC">
            <w:pPr>
              <w:pStyle w:val="append"/>
            </w:pPr>
            <w:r>
              <w:t xml:space="preserve">к решению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 № 22-1 </w:t>
            </w:r>
            <w:r>
              <w:br/>
              <w:t xml:space="preserve">(в редакции решения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26.02.2026 № 25-16) </w:t>
            </w:r>
          </w:p>
        </w:tc>
      </w:tr>
    </w:tbl>
    <w:p w:rsidR="005B24AC" w:rsidRDefault="005B24AC">
      <w:pPr>
        <w:pStyle w:val="titlep"/>
        <w:jc w:val="left"/>
      </w:pPr>
      <w:r>
        <w:t>РАСПРЕДЕЛЕНИЕ</w:t>
      </w:r>
      <w:r>
        <w:br/>
        <w:t>бюджетных назначений по распорядителям бюджетных средств районного бюджета в соответствии с ведомственной классификацией расходов районного бюджета и функциональной классификацией расходов бюджета</w:t>
      </w:r>
    </w:p>
    <w:p w:rsidR="005B24AC" w:rsidRDefault="005B24AC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568"/>
        <w:gridCol w:w="709"/>
        <w:gridCol w:w="1056"/>
        <w:gridCol w:w="503"/>
        <w:gridCol w:w="1553"/>
      </w:tblGrid>
      <w:tr w:rsidR="005B24AC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Объем финансирования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учреждение «Чаусский районный архив»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43 325,00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43 325,00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43 325,00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43 325,00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Могилевское коммунальное областное унитарное производственное предприятие «Облтопливо»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556 727,00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556 727,00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556 727,00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18 031 686,99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7 578 327,48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3 730 775,48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3 730 775,48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720,00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720,00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Резервные фонды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158 574,00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Фонд финансирования расходов, связанных со стихийными бедствиями, авариями и катастрофами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16 601,00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141 946,00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3 688 285,00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3 688 285,00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29 280,00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29 280,00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481 954,00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Промышленность, строительство и архитектура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290 000,00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Строительство и архитектура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290 000,00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Транспорт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11 403,00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172 635,00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7 916,00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7 916,00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7 645 755,51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236 389,31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2 394 707,56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5 014 658,64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2 212 051,00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2 181 151,00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2 181 151,00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30 900,00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30 900,00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84 319,00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2 330,00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44 000,00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37 989,00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Учреждение здравоохранения «Чаусская центральная районная больница»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15 069 479,00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ЗДРАВООХРАНЕНИЕ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15 066 229,00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15 066 229,00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2 250,00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2 250,00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Сектор культуры Чаусского районного исполнительного комитета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4 652 789,00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111 350,00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111 350,00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111 350,00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3 522 945,00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3 522 945,00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3 522 945,00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ОБРАЗОВАНИЕ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1 015 243,00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1 015 243,00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3 251,00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3 251,00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24 154 298,00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171 590,00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171 590,00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171 590,00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ОБРАЗОВАНИЕ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23 120 112,00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5 095 353,00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16 889 906,00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677 647,00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457 206,00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862 596,00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защита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734 030,00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128 566,00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Управление по сельскому хозяйству и продовольствию Чаусского районного исполнительного комитета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2 408 745,00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1 093 077,00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517 077,00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517 077,00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576 000,00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576 000,00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1 315 668,00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1 315 668,00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1 290 693,00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24 975,00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филиал Автопарк № 10 ОАО «Могилевоблавтотранс»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927 066,00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927 066,00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Транспорт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927 066,00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927 066,00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Чаусское унитарное коммунальное предприятие «Жилкомхоз»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5 721 196,82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40 617,30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40 617,30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5 680 579,52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5 570 399,52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110 180,00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4 111 768,00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531 876,00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531 876,00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531 876,00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3 579 892,00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защита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2 611 075,00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968 817,00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лесохозяйственное учреждение «Чаусский лесхоз»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2 132,00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лесохозяйственное учреждение «Чаусский лесхоз»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2 132,00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лесохозяйственное учреждение «Чаусский лесхоз»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2 132,00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Финансовый отдел Чаусского районного исполнительного комитета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44 150,00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44 150,00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23 673,00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23 673,00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4 800,00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4 800,00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15 677,00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15 677,00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Антоновский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Каменский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69 000,00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69 000,00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69 000,00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69 000,00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Волковичский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22 000,00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Войниловский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97 000,00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97 000,00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97 000,00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97 000,00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Горбовичский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Радомльский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139 925,00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139 925,00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139 925,00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139 925,00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Осиновский сельский исполнительный комитет Чаусского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61 000,00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Унитарное производственное коммунальное предприятие водопроводно-канализационного хозяйства «Могилевоблводоканал»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13 600,00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13 600,00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13 600,00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47 635,00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47 635,00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47 635,00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3 994,00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3 994,00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>3 994,00</w:t>
            </w:r>
          </w:p>
        </w:tc>
      </w:tr>
      <w:tr w:rsidR="005B24AC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ВСЕГО расходов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24AC" w:rsidRDefault="005B24AC">
            <w:pPr>
              <w:pStyle w:val="table10"/>
              <w:jc w:val="right"/>
            </w:pPr>
            <w:r>
              <w:t xml:space="preserve">76 180 516,81 </w:t>
            </w:r>
          </w:p>
        </w:tc>
      </w:tr>
    </w:tbl>
    <w:p w:rsidR="005B24AC" w:rsidRDefault="005B24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5B24AC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append1"/>
            </w:pPr>
            <w:r>
              <w:t>Приложение 5</w:t>
            </w:r>
            <w:r>
              <w:rPr>
                <w:vertAlign w:val="superscript"/>
              </w:rPr>
              <w:t>1</w:t>
            </w:r>
          </w:p>
          <w:p w:rsidR="005B24AC" w:rsidRDefault="005B24AC">
            <w:pPr>
              <w:pStyle w:val="append"/>
            </w:pPr>
            <w:r>
              <w:t xml:space="preserve">к решению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 № 22-1 </w:t>
            </w:r>
            <w:r>
              <w:br/>
              <w:t xml:space="preserve">(в редакции решения </w:t>
            </w:r>
            <w:r>
              <w:br/>
              <w:t xml:space="preserve">Чаусского районного </w:t>
            </w:r>
            <w:r>
              <w:br/>
              <w:t xml:space="preserve">Совета депутатов </w:t>
            </w:r>
            <w:r>
              <w:br/>
              <w:t xml:space="preserve">26.02.2026 № 25-16) </w:t>
            </w:r>
          </w:p>
        </w:tc>
      </w:tr>
    </w:tbl>
    <w:p w:rsidR="005B24AC" w:rsidRDefault="005B24AC">
      <w:pPr>
        <w:pStyle w:val="titlep"/>
        <w:ind w:right="991"/>
        <w:jc w:val="left"/>
      </w:pPr>
      <w:r>
        <w:t xml:space="preserve">ПЕРЕЧЕНЬ </w:t>
      </w:r>
      <w:r>
        <w:br/>
        <w:t>государственных программ и подпрограмм, финансирование которых предусматривается за счет средств районного бюджета, в разрезе ведомственной классификации расходов районного бюджета и функциональной классификации расходов бюджета</w:t>
      </w:r>
    </w:p>
    <w:p w:rsidR="005B24AC" w:rsidRDefault="005B24AC">
      <w:pPr>
        <w:pStyle w:val="edizmeren"/>
      </w:pPr>
      <w:r>
        <w:t xml:space="preserve">(рублей)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2266"/>
        <w:gridCol w:w="2552"/>
        <w:gridCol w:w="1555"/>
      </w:tblGrid>
      <w:tr w:rsidR="005B24AC">
        <w:trPr>
          <w:trHeight w:val="240"/>
        </w:trPr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Наименование государственной программы, подпрограммы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Наименование раздела по функциональной классификации расходов</w:t>
            </w:r>
          </w:p>
        </w:tc>
        <w:tc>
          <w:tcPr>
            <w:tcW w:w="1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Распорядитель средств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Объем финансирования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24AC" w:rsidRDefault="005B24AC">
            <w:pPr>
              <w:pStyle w:val="table10"/>
              <w:jc w:val="center"/>
            </w:pPr>
            <w:r>
              <w:t>4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1. Государственная программа «АПК будущего» на 2026–2030 годы, утвержденная постановлением Совета Министров Республики Беларусь от 31 декабря 2025 г. № 814: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подпрограмма 10 «Устойчивое развитие АПК»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Управление по сельскому хозяйству и продовольствию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24 975,00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Ветеринарное санитарное учреждение «Чаусская районная ветеринарная станция»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1 290 693,00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подпрограмме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1 315 668,00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Итого по программе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1 315 668,00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2. Государственная программа «Общество равных возможностей» на 2026–2030 годы, утвержденная постановлением Совета Министров Республики Беларусь от 24 декабря 2025 г. № 763: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2.1. подпрограмма 1 «Благополучие старшего поколения»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Чаусский районный исполнительный комитет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24 480,00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816 207,00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Учреждение «Чаусский центр социального обслуживания населения»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8 460,00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подпрограмме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849 147,00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2.2. подпрограмма 2 «Социальная инклюзия»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Учреждение «Чаусский центр социального обслуживания населения»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1 006,00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Итого по программе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850 153,00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3. Государственная программа «Здоровье нации» на 2026–2030 годы, утвержденная постановлением Совета Министров Республики Беларусь от 30 декабря 2025 г. № 798: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подпрограмма 1 «Профилактика, диагностика, лечение»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Здравоохранение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15 066 229,00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15 066 229,00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4. Государственная программа «Экология» на 2026–2030 годы, утвержденная постановлением Совета Министров Республики Беларусь от 30 декабря 2025 г. № 791: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подпрограмма 5 «Экология регионов»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Чаусское унитарное коммунальное предприятие «Жилкомхоз»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37 675,00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37 675,00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5. Государственная программа «Устойчивая энергетика и энергоэффективность» на 2026–2030 годы, утвержденная постановлением Совета Министров Республики Беларусь от 31 декабря 2025 г. № 819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Жилищно-коммунальные услуги и жилищное строительство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Чаусское унитарное коммунальное предприятие «Жилкомхоз»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73 997,00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73 997,00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6. Государственная программа «Развитие демографического потенциала» на 2026–2030 годы, утвержденная постановлением Совета Министров Республики Беларусь от 24 декабря 2025 г. № 765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84 039,00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Итого по программе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84 039,00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7. Государственная программа «Беларусь интеллектуальная» на 2026–2030 годы, утвержденная постановлением Совета Министров Республики Беларусь от 30 декабря 2025 г. № 796: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7.1. подпрограмма 1 «Детский сад и школа – территория успеха»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Образование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 xml:space="preserve">115 013,00 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120 691,00</w:t>
            </w:r>
          </w:p>
        </w:tc>
      </w:tr>
      <w:tr w:rsidR="005B24AC">
        <w:trPr>
          <w:trHeight w:val="240"/>
        </w:trPr>
        <w:tc>
          <w:tcPr>
            <w:tcW w:w="15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7.2. подпрограмма 2 «Дети и молодежь – будущее Беларуси»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Образование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учреждение образования «Детская школа изобразительных искусств и художественных ремесел г. Чаусы»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30 000,00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Социальная политика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2 330,00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268 034,00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8. Государственная программа «Культурное пространство» на 2026–2030 годы, утвержденная постановлением Совета Министров Республики Беларусь от 30 декабря 2025 г. № 800: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подпрограмма 1 «Культурное наследие»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учреждение культуры «Чаусская библиотечная сеть»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259 805,00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259 805,00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9. Государственная программа «Физическая культура и спорт» на 2026–2030 годы, утвержденная постановлением Совета Министров Республики Беларусь от 24 декабря 2025 г. № 772: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9.1. подпрограмма 1 «Активный образ жизни»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учреждение «Чаусский центр физкультурно-оздоровительной работы»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1 150 628,00</w:t>
            </w:r>
          </w:p>
        </w:tc>
      </w:tr>
      <w:tr w:rsidR="005B24AC">
        <w:trPr>
          <w:trHeight w:val="240"/>
        </w:trPr>
        <w:tc>
          <w:tcPr>
            <w:tcW w:w="15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9.2. подпрограмма 2 «Подготовка спортивного резерва и спортсменов высокого класса»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учебно-спортивное учреждение «Специализированная детско-юношеская школа олимпийского резерва Чаусского района»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906 721,00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11 802,00</w:t>
            </w:r>
          </w:p>
        </w:tc>
      </w:tr>
      <w:tr w:rsidR="005B24A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AC" w:rsidRDefault="005B24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Государственное учреждение «Чаусский центр физкультурно-оздоровительной работы»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12 000,00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подпрограмме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930 523,00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2 081 151,00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10. Государственная программа «Комфортное жилье и благоприятная среда» на 2026–2030 годы, утвержденная постановлением Совета Министров Республики Беларусь от 31 декабря 2025 г. № 818: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10.1. подпрограмма 1 «Благоустройство»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Жилищно-коммунальные услуги и жилищное строительство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Чаусский районный исполнительный комитет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4 508 199,64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10.2. подпрограмма 2 «Ремонт жилья»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2 558 422,56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10.3. подпрограмма 3 «Сокращение неликвидного арендного жилищного фонда»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80 000,00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Итого по программе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7 146 622,20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 xml:space="preserve">11. Государственная программа «Строительство жилья» на 2026–2030 годы, утвержденная постановлением Совета Министров Республики Беларусь от 29 декабря 2025 г. № 780: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 </w:t>
            </w:r>
          </w:p>
        </w:tc>
      </w:tr>
      <w:tr w:rsidR="005B24AC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подпрограмма 1 «Строительство жилых домов, в том числе арендного жилья»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62 886,31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62 886,31</w:t>
            </w:r>
          </w:p>
        </w:tc>
      </w:tr>
      <w:tr w:rsidR="005B24AC">
        <w:trPr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</w:pPr>
            <w:r>
              <w:t>ВСЕГО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24AC" w:rsidRDefault="005B24AC">
            <w:pPr>
              <w:pStyle w:val="table10"/>
              <w:jc w:val="right"/>
            </w:pPr>
            <w:r>
              <w:t>27 246 259,51</w:t>
            </w:r>
          </w:p>
        </w:tc>
      </w:tr>
    </w:tbl>
    <w:p w:rsidR="005B24AC" w:rsidRDefault="005B24AC">
      <w:pPr>
        <w:pStyle w:val="newncpi"/>
      </w:pPr>
      <w:r>
        <w:t> </w:t>
      </w:r>
    </w:p>
    <w:p w:rsidR="00FB55B6" w:rsidRDefault="00FB55B6"/>
    <w:sectPr w:rsidR="00FB55B6" w:rsidSect="005B2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4AC" w:rsidRDefault="005B24AC" w:rsidP="005B24AC">
      <w:pPr>
        <w:spacing w:after="0" w:line="240" w:lineRule="auto"/>
      </w:pPr>
      <w:r>
        <w:separator/>
      </w:r>
    </w:p>
  </w:endnote>
  <w:endnote w:type="continuationSeparator" w:id="0">
    <w:p w:rsidR="005B24AC" w:rsidRDefault="005B24AC" w:rsidP="005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AC" w:rsidRDefault="005B24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AC" w:rsidRDefault="005B24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B24AC" w:rsidTr="005B24AC">
      <w:tc>
        <w:tcPr>
          <w:tcW w:w="1800" w:type="dxa"/>
          <w:shd w:val="clear" w:color="auto" w:fill="auto"/>
          <w:vAlign w:val="center"/>
        </w:tcPr>
        <w:p w:rsidR="005B24AC" w:rsidRDefault="005B24AC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B24AC" w:rsidRDefault="005B24A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B24AC" w:rsidRDefault="005B24A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28.04.2026</w:t>
          </w:r>
        </w:p>
        <w:p w:rsidR="005B24AC" w:rsidRDefault="005B24A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5B24AC" w:rsidRPr="005B24AC" w:rsidRDefault="005B24A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B24AC" w:rsidRDefault="005B24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4AC" w:rsidRDefault="005B24AC" w:rsidP="005B24AC">
      <w:pPr>
        <w:spacing w:after="0" w:line="240" w:lineRule="auto"/>
      </w:pPr>
      <w:r>
        <w:separator/>
      </w:r>
    </w:p>
  </w:footnote>
  <w:footnote w:type="continuationSeparator" w:id="0">
    <w:p w:rsidR="005B24AC" w:rsidRDefault="005B24AC" w:rsidP="005B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AC" w:rsidRDefault="005B24AC" w:rsidP="00BD4C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5B24AC" w:rsidRDefault="005B24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AC" w:rsidRPr="005B24AC" w:rsidRDefault="005B24AC" w:rsidP="00BD4C02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5B24AC">
      <w:rPr>
        <w:rStyle w:val="a9"/>
        <w:rFonts w:ascii="Times New Roman" w:hAnsi="Times New Roman" w:cs="Times New Roman"/>
        <w:sz w:val="24"/>
      </w:rPr>
      <w:fldChar w:fldCharType="begin"/>
    </w:r>
    <w:r w:rsidRPr="005B24AC">
      <w:rPr>
        <w:rStyle w:val="a9"/>
        <w:rFonts w:ascii="Times New Roman" w:hAnsi="Times New Roman" w:cs="Times New Roman"/>
        <w:sz w:val="24"/>
      </w:rPr>
      <w:instrText xml:space="preserve"> PAGE </w:instrText>
    </w:r>
    <w:r w:rsidRPr="005B24AC">
      <w:rPr>
        <w:rStyle w:val="a9"/>
        <w:rFonts w:ascii="Times New Roman" w:hAnsi="Times New Roman" w:cs="Times New Roman"/>
        <w:sz w:val="24"/>
      </w:rPr>
      <w:fldChar w:fldCharType="separate"/>
    </w:r>
    <w:r w:rsidRPr="005B24AC">
      <w:rPr>
        <w:rStyle w:val="a9"/>
        <w:rFonts w:ascii="Times New Roman" w:hAnsi="Times New Roman" w:cs="Times New Roman"/>
        <w:noProof/>
        <w:sz w:val="24"/>
      </w:rPr>
      <w:t>11</w:t>
    </w:r>
    <w:r w:rsidRPr="005B24AC">
      <w:rPr>
        <w:rStyle w:val="a9"/>
        <w:rFonts w:ascii="Times New Roman" w:hAnsi="Times New Roman" w:cs="Times New Roman"/>
        <w:sz w:val="24"/>
      </w:rPr>
      <w:fldChar w:fldCharType="end"/>
    </w:r>
  </w:p>
  <w:p w:rsidR="005B24AC" w:rsidRPr="005B24AC" w:rsidRDefault="005B24AC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AC" w:rsidRDefault="005B24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AC"/>
    <w:rsid w:val="004069D1"/>
    <w:rsid w:val="005B24AC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2B42-890D-4CF8-A6C2-563D07F1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4A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5B24AC"/>
    <w:rPr>
      <w:color w:val="154C94"/>
      <w:u w:val="single"/>
    </w:rPr>
  </w:style>
  <w:style w:type="paragraph" w:customStyle="1" w:styleId="msonormal0">
    <w:name w:val="msonormal"/>
    <w:basedOn w:val="a"/>
    <w:rsid w:val="005B24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5B24A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5B24A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5B24A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5B24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5B24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5B24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5B24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5B24A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5B24A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5B24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B24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B24A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B24A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5B24A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5B24A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5B24A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5B24A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5B24A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5B24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5B24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5B24A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B24A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B24A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5B24A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5B24A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5B24A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B24A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5B24A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5B24A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5B24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5B24A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B24A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5B24A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5B24A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5B24A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5B24A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5B24A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5B24A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5B24A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5B24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5B24A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5B24A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5B24A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5B24A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5B24A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5B24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5B24A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5B24A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5B24A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5B24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5B24A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B24A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B24A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B24A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B24A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B24A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B24A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B24A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B24A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B24AC"/>
    <w:rPr>
      <w:rFonts w:ascii="Symbol" w:hAnsi="Symbol" w:hint="default"/>
    </w:rPr>
  </w:style>
  <w:style w:type="character" w:customStyle="1" w:styleId="onewind3">
    <w:name w:val="onewind3"/>
    <w:basedOn w:val="a0"/>
    <w:rsid w:val="005B24AC"/>
    <w:rPr>
      <w:rFonts w:ascii="Wingdings 3" w:hAnsi="Wingdings 3" w:hint="default"/>
    </w:rPr>
  </w:style>
  <w:style w:type="character" w:customStyle="1" w:styleId="onewind2">
    <w:name w:val="onewind2"/>
    <w:basedOn w:val="a0"/>
    <w:rsid w:val="005B24AC"/>
    <w:rPr>
      <w:rFonts w:ascii="Wingdings 2" w:hAnsi="Wingdings 2" w:hint="default"/>
    </w:rPr>
  </w:style>
  <w:style w:type="character" w:customStyle="1" w:styleId="onewind">
    <w:name w:val="onewind"/>
    <w:basedOn w:val="a0"/>
    <w:rsid w:val="005B24AC"/>
    <w:rPr>
      <w:rFonts w:ascii="Wingdings" w:hAnsi="Wingdings" w:hint="default"/>
    </w:rPr>
  </w:style>
  <w:style w:type="character" w:customStyle="1" w:styleId="rednoun">
    <w:name w:val="rednoun"/>
    <w:basedOn w:val="a0"/>
    <w:rsid w:val="005B24AC"/>
  </w:style>
  <w:style w:type="character" w:customStyle="1" w:styleId="post">
    <w:name w:val="post"/>
    <w:basedOn w:val="a0"/>
    <w:rsid w:val="005B24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B24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B24A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B24A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B24AC"/>
    <w:rPr>
      <w:rFonts w:ascii="Arial" w:hAnsi="Arial" w:cs="Arial" w:hint="default"/>
    </w:rPr>
  </w:style>
  <w:style w:type="character" w:customStyle="1" w:styleId="snoskiindex">
    <w:name w:val="snoskiindex"/>
    <w:basedOn w:val="a0"/>
    <w:rsid w:val="005B24A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5B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B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4AC"/>
  </w:style>
  <w:style w:type="paragraph" w:styleId="a7">
    <w:name w:val="footer"/>
    <w:basedOn w:val="a"/>
    <w:link w:val="a8"/>
    <w:uiPriority w:val="99"/>
    <w:unhideWhenUsed/>
    <w:rsid w:val="005B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4AC"/>
  </w:style>
  <w:style w:type="character" w:styleId="a9">
    <w:name w:val="page number"/>
    <w:basedOn w:val="a0"/>
    <w:uiPriority w:val="99"/>
    <w:semiHidden/>
    <w:unhideWhenUsed/>
    <w:rsid w:val="005B24AC"/>
  </w:style>
  <w:style w:type="table" w:styleId="aa">
    <w:name w:val="Table Grid"/>
    <w:basedOn w:val="a1"/>
    <w:uiPriority w:val="39"/>
    <w:rsid w:val="005B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3541</Words>
  <Characters>21190</Characters>
  <Application>Microsoft Office Word</Application>
  <DocSecurity>0</DocSecurity>
  <Lines>1926</Lines>
  <Paragraphs>1766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Белохонова Екатерина Анатольевна</dc:creator>
  <cp:keywords/>
  <dc:description/>
  <cp:lastModifiedBy>Белохонова Екатерина Анатольевна</cp:lastModifiedBy>
  <cp:revision>2</cp:revision>
  <dcterms:created xsi:type="dcterms:W3CDTF">2026-04-28T11:51:00Z</dcterms:created>
  <dcterms:modified xsi:type="dcterms:W3CDTF">2026-04-28T11:55:00Z</dcterms:modified>
</cp:coreProperties>
</file>