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8175F">
      <w:pPr>
        <w:pStyle w:val="a00"/>
        <w:rPr>
          <w:lang w:val="ru-RU"/>
        </w:rPr>
      </w:pPr>
      <w:bookmarkStart w:id="0" w:name="a8"/>
      <w:bookmarkStart w:id="1" w:name="_GoBack"/>
      <w:bookmarkEnd w:id="0"/>
      <w:bookmarkEnd w:id="1"/>
      <w:r>
        <w:rPr>
          <w:lang w:val="ru-RU"/>
        </w:rPr>
        <w:t> </w:t>
      </w:r>
    </w:p>
    <w:p w:rsidR="00000000" w:rsidRDefault="0048175F">
      <w:pPr>
        <w:shd w:val="clear" w:color="auto" w:fill="FFFFFF"/>
        <w:jc w:val="right"/>
        <w:divId w:val="700056114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175F">
      <w:pPr>
        <w:pStyle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Изменения в регулировании цен. </w:t>
      </w:r>
      <w:r>
        <w:rPr>
          <w:rFonts w:eastAsia="Times New Roman"/>
          <w:lang w:val="ru-RU"/>
        </w:rPr>
        <w:br/>
        <w:t>Комментарий к </w:t>
      </w:r>
      <w:hyperlink r:id="rId5" w:anchor="a4" w:tooltip="+" w:history="1">
        <w:r>
          <w:rPr>
            <w:rStyle w:val="a3"/>
            <w:rFonts w:eastAsia="Times New Roman"/>
            <w:lang w:val="ru-RU"/>
          </w:rPr>
          <w:t>постановлению</w:t>
        </w:r>
      </w:hyperlink>
      <w:r>
        <w:rPr>
          <w:rFonts w:eastAsia="Times New Roman"/>
          <w:lang w:val="ru-RU"/>
        </w:rPr>
        <w:t xml:space="preserve"> Совмина от 16.10.2024 № 713(5)</w:t>
      </w:r>
    </w:p>
    <w:p w:rsidR="00000000" w:rsidRDefault="0048175F">
      <w:pPr>
        <w:shd w:val="clear" w:color="auto" w:fill="F4F4F4"/>
        <w:divId w:val="1193953564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>
            <wp:extent cx="1143000" cy="1143000"/>
            <wp:effectExtent l="0" t="0" r="0" b="0"/>
            <wp:docPr id="2" name="Рисунок 2" descr="Яна Гли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на Глинск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175F">
      <w:pPr>
        <w:pStyle w:val="author-name1"/>
        <w:shd w:val="clear" w:color="auto" w:fill="F4F4F4"/>
        <w:divId w:val="1451896390"/>
        <w:rPr>
          <w:lang w:val="ru-RU"/>
        </w:rPr>
      </w:pPr>
      <w:r>
        <w:rPr>
          <w:b/>
          <w:bCs/>
          <w:lang w:val="ru-RU"/>
        </w:rPr>
        <w:t>Яна Глинская</w:t>
      </w:r>
      <w:r>
        <w:rPr>
          <w:lang w:val="ru-RU"/>
        </w:rPr>
        <w:br/>
        <w:t>экономист</w:t>
      </w:r>
    </w:p>
    <w:p w:rsidR="00000000" w:rsidRDefault="0048175F">
      <w:pPr>
        <w:pStyle w:val="date1"/>
        <w:shd w:val="clear" w:color="auto" w:fill="F4F4F4"/>
        <w:divId w:val="1239049369"/>
        <w:rPr>
          <w:lang w:val="ru-RU"/>
        </w:rPr>
      </w:pPr>
      <w:r>
        <w:rPr>
          <w:lang w:val="ru-RU"/>
        </w:rPr>
        <w:t>21.10.2024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 xml:space="preserve">Введенная </w:t>
      </w:r>
      <w:hyperlink r:id="rId7" w:anchor="a19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от 19.10.2022 № 713 «О системе регулирования цен» система регулирования цен действует с даты приня</w:t>
      </w:r>
      <w:r>
        <w:rPr>
          <w:lang w:val="ru-RU"/>
        </w:rPr>
        <w:t xml:space="preserve">тия </w:t>
      </w:r>
      <w:hyperlink r:id="rId8" w:anchor="a19" w:tooltip="+" w:history="1">
        <w:r>
          <w:rPr>
            <w:rStyle w:val="a3"/>
            <w:lang w:val="ru-RU"/>
          </w:rPr>
          <w:t>постановления</w:t>
        </w:r>
      </w:hyperlink>
      <w:r>
        <w:rPr>
          <w:lang w:val="ru-RU"/>
        </w:rPr>
        <w:t xml:space="preserve"> № 713.</w:t>
      </w:r>
    </w:p>
    <w:p w:rsidR="00000000" w:rsidRDefault="0048175F">
      <w:pPr>
        <w:pStyle w:val="justify"/>
        <w:rPr>
          <w:lang w:val="ru-RU"/>
        </w:rPr>
      </w:pPr>
      <w:hyperlink r:id="rId9" w:anchor="a4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№ 713(5) внесена пятая поправка в </w:t>
      </w:r>
      <w:hyperlink r:id="rId10" w:anchor="a19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№ 713. В ма</w:t>
      </w:r>
      <w:r>
        <w:rPr>
          <w:lang w:val="ru-RU"/>
        </w:rPr>
        <w:t>териале рассмотрены изменения в регулировании цен.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 </w:t>
      </w:r>
    </w:p>
    <w:p w:rsidR="00000000" w:rsidRDefault="0048175F">
      <w:pPr>
        <w:pStyle w:val="a00"/>
        <w:rPr>
          <w:lang w:val="ru-RU"/>
        </w:rPr>
      </w:pPr>
      <w:r>
        <w:rPr>
          <w:lang w:val="ru-RU"/>
        </w:rPr>
        <w:t>Данная тема изложена в разделах:</w:t>
      </w:r>
    </w:p>
    <w:p w:rsidR="00000000" w:rsidRDefault="0048175F">
      <w:pPr>
        <w:jc w:val="both"/>
        <w:divId w:val="2053917147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1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1" w:tooltip="+" w:history="1">
        <w:r>
          <w:rPr>
            <w:rFonts w:ascii="Arial" w:eastAsia="Times New Roman" w:hAnsi="Arial" w:cs="Arial"/>
            <w:color w:val="000000"/>
            <w:lang w:val="ru-RU"/>
          </w:rPr>
          <w:t>Максимальные цены на плодоовощную продукцию</w:t>
        </w:r>
      </w:hyperlink>
    </w:p>
    <w:p w:rsidR="00000000" w:rsidRDefault="0048175F">
      <w:pPr>
        <w:jc w:val="both"/>
        <w:divId w:val="1823816145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2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2" w:tooltip="+" w:history="1">
        <w:r>
          <w:rPr>
            <w:rFonts w:ascii="Arial" w:eastAsia="Times New Roman" w:hAnsi="Arial" w:cs="Arial"/>
            <w:color w:val="000000"/>
            <w:lang w:val="ru-RU"/>
          </w:rPr>
          <w:t>Снижены надбавки импортера</w:t>
        </w:r>
      </w:hyperlink>
    </w:p>
    <w:p w:rsidR="00000000" w:rsidRDefault="0048175F">
      <w:pPr>
        <w:jc w:val="both"/>
        <w:divId w:val="712925584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3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3" w:tooltip="+" w:history="1">
        <w:r>
          <w:rPr>
            <w:rFonts w:ascii="Arial" w:eastAsia="Times New Roman" w:hAnsi="Arial" w:cs="Arial"/>
            <w:color w:val="000000"/>
            <w:lang w:val="ru-RU"/>
          </w:rPr>
          <w:t>Отменено регулирование цен на отдельные непродовольственные товары премиум класса</w:t>
        </w:r>
      </w:hyperlink>
    </w:p>
    <w:p w:rsidR="00000000" w:rsidRDefault="0048175F">
      <w:pPr>
        <w:jc w:val="both"/>
        <w:divId w:val="2062630063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4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4" w:tooltip="+" w:history="1">
        <w:r>
          <w:rPr>
            <w:rFonts w:ascii="Arial" w:eastAsia="Times New Roman" w:hAnsi="Arial" w:cs="Arial"/>
            <w:color w:val="000000"/>
            <w:lang w:val="ru-RU"/>
          </w:rPr>
          <w:t>Полномочия МАРТ</w:t>
        </w:r>
      </w:hyperlink>
    </w:p>
    <w:p w:rsidR="00000000" w:rsidRDefault="0048175F">
      <w:pPr>
        <w:jc w:val="both"/>
        <w:divId w:val="351149509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5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5" w:tooltip="+" w:history="1">
        <w:r>
          <w:rPr>
            <w:rFonts w:ascii="Arial" w:eastAsia="Times New Roman" w:hAnsi="Arial" w:cs="Arial"/>
            <w:color w:val="000000"/>
            <w:lang w:val="ru-RU"/>
          </w:rPr>
          <w:t>Ежемесячное повышение цен без согласования</w:t>
        </w:r>
      </w:hyperlink>
    </w:p>
    <w:p w:rsidR="00000000" w:rsidRDefault="0048175F">
      <w:pPr>
        <w:jc w:val="both"/>
        <w:divId w:val="589703904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6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6" w:tooltip="+" w:history="1">
        <w:r>
          <w:rPr>
            <w:rFonts w:ascii="Arial" w:eastAsia="Times New Roman" w:hAnsi="Arial" w:cs="Arial"/>
            <w:color w:val="000000"/>
            <w:lang w:val="ru-RU"/>
          </w:rPr>
          <w:t>Выплаты вознаграждений поставщикам</w:t>
        </w:r>
      </w:hyperlink>
    </w:p>
    <w:p w:rsidR="00000000" w:rsidRDefault="0048175F">
      <w:pPr>
        <w:jc w:val="both"/>
        <w:divId w:val="1437873172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  <w:lang w:val="ru-RU"/>
        </w:rPr>
        <w:t>7</w:t>
      </w:r>
      <w:r>
        <w:rPr>
          <w:rFonts w:ascii="Arial" w:eastAsia="Times New Roman" w:hAnsi="Arial" w:cs="Arial"/>
          <w:color w:val="000000"/>
          <w:lang w:val="ru-RU"/>
        </w:rPr>
        <w:t xml:space="preserve"> </w:t>
      </w:r>
      <w:hyperlink w:anchor="a7" w:tooltip="+" w:history="1">
        <w:r>
          <w:rPr>
            <w:rFonts w:ascii="Arial" w:eastAsia="Times New Roman" w:hAnsi="Arial" w:cs="Arial"/>
            <w:color w:val="000000"/>
            <w:lang w:val="ru-RU"/>
          </w:rPr>
          <w:t>Расходы по доставке в потребкооперации</w:t>
        </w:r>
      </w:hyperlink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4817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48175F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000000" w:rsidRDefault="0048175F">
            <w:pPr>
              <w:pStyle w:val="a0-justify"/>
            </w:pPr>
            <w:r>
              <w:t xml:space="preserve">• Для удобного поиска предельных надбавок по регулируемым потребительским товарам </w:t>
            </w:r>
            <w:r>
              <w:lastRenderedPageBreak/>
              <w:t xml:space="preserve">используйте </w:t>
            </w:r>
            <w:hyperlink r:id="rId12" w:tooltip="+" w:history="1">
              <w:r>
                <w:rPr>
                  <w:rStyle w:val="a3"/>
                </w:rPr>
                <w:t>справочник</w:t>
              </w:r>
            </w:hyperlink>
            <w:r>
              <w:t>.</w:t>
            </w:r>
          </w:p>
        </w:tc>
      </w:tr>
    </w:tbl>
    <w:p w:rsidR="00000000" w:rsidRDefault="0048175F">
      <w:pPr>
        <w:pStyle w:val="2"/>
        <w:rPr>
          <w:rFonts w:eastAsia="Times New Roman"/>
          <w:lang w:val="ru-RU"/>
        </w:rPr>
      </w:pPr>
      <w:bookmarkStart w:id="2" w:name="a1"/>
      <w:bookmarkEnd w:id="2"/>
      <w:r>
        <w:rPr>
          <w:rFonts w:eastAsia="Times New Roman"/>
          <w:lang w:val="ru-RU"/>
        </w:rPr>
        <w:lastRenderedPageBreak/>
        <w:t>Максимальные цены на </w:t>
      </w:r>
      <w:r>
        <w:rPr>
          <w:rFonts w:eastAsia="Times New Roman"/>
          <w:lang w:val="ru-RU"/>
        </w:rPr>
        <w:t>плодоовощную продукцию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Установлены предельные максимальные отпускные и розничные (оптовые) цены на отдельные виды плодоовощной продукции на межсезонный период с октября 2024 г. по май 2025 г.: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картофель свежий продовольственный, за исключением мытого;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 xml:space="preserve">• </w:t>
      </w:r>
      <w:r>
        <w:rPr>
          <w:lang w:val="ru-RU"/>
        </w:rPr>
        <w:t>капуста белокочанная свежая;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морковь свежая, за исключением мытой;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свекла свежая столовая, за исключением мытой;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лук репчатый;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яблоки свежие;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огурцы свежие.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4817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48175F">
            <w:pPr>
              <w:pStyle w:val="primsit"/>
            </w:pPr>
            <w:r>
              <w:t>Справочно</w:t>
            </w:r>
          </w:p>
          <w:p w:rsidR="00000000" w:rsidRDefault="0048175F">
            <w:pPr>
              <w:pStyle w:val="insettext11"/>
            </w:pPr>
            <w:r>
              <w:t xml:space="preserve">С 21 октября по декабрь 2024 г. и с января по май 2025 г. предельные максимальные отпускные цены на такие товары применяются в значениях, установленных в перечне согласно </w:t>
            </w:r>
            <w:hyperlink r:id="rId14" w:anchor="a541" w:tooltip="+" w:history="1">
              <w:r>
                <w:rPr>
                  <w:rStyle w:val="a3"/>
                </w:rPr>
                <w:t>приложению 1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к постановлению № 713 (здесь и далее - в редакции постановления № 713(5)).</w:t>
            </w:r>
          </w:p>
          <w:p w:rsidR="00000000" w:rsidRDefault="0048175F">
            <w:pPr>
              <w:pStyle w:val="insettext11"/>
            </w:pPr>
            <w:r>
              <w:t>С 29 октября по декабрь 2024 г. и с января по май 2025 </w:t>
            </w:r>
            <w:r>
              <w:t xml:space="preserve">г. предельные максимальные розничные (оптовые) цены на такие товары применяются в значениях, установленных в перечне согласно </w:t>
            </w:r>
            <w:hyperlink r:id="rId15" w:anchor="a542" w:tooltip="+" w:history="1">
              <w:r>
                <w:rPr>
                  <w:rStyle w:val="a3"/>
                </w:rPr>
                <w:t>приложению 1</w:t>
              </w:r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к постановлению № 713.</w:t>
            </w:r>
          </w:p>
        </w:tc>
      </w:tr>
    </w:tbl>
    <w:p w:rsidR="00000000" w:rsidRDefault="0048175F">
      <w:pPr>
        <w:pStyle w:val="2"/>
        <w:rPr>
          <w:rFonts w:eastAsia="Times New Roman"/>
          <w:lang w:val="ru-RU"/>
        </w:rPr>
      </w:pPr>
      <w:bookmarkStart w:id="3" w:name="a2"/>
      <w:bookmarkEnd w:id="3"/>
      <w:r>
        <w:rPr>
          <w:rFonts w:eastAsia="Times New Roman"/>
          <w:lang w:val="ru-RU"/>
        </w:rPr>
        <w:t>Снижены надбавки импортера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Снижены на</w:t>
      </w:r>
      <w:r>
        <w:rPr>
          <w:lang w:val="ru-RU"/>
        </w:rPr>
        <w:t>дбавки импортера на следующие группы товаров: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крупа гречневая, за исключением зеленой и крупы гречневой в варочных пакетах до 10 %. Ранее принялась надбавка 25 % при реализации юрлицам и ИП, кроме реализуемой в собственном торговом объекте, и 15 % при ре</w:t>
      </w:r>
      <w:r>
        <w:rPr>
          <w:lang w:val="ru-RU"/>
        </w:rPr>
        <w:t>ализации в собственном торговом объекте (</w:t>
      </w:r>
      <w:hyperlink r:id="rId16" w:anchor="a532" w:tooltip="+" w:history="1">
        <w:r>
          <w:rPr>
            <w:rStyle w:val="a3"/>
            <w:lang w:val="ru-RU"/>
          </w:rPr>
          <w:t>п.59</w:t>
        </w:r>
      </w:hyperlink>
      <w:r>
        <w:rPr>
          <w:lang w:val="ru-RU"/>
        </w:rPr>
        <w:t xml:space="preserve"> приложения 1 к постановлению № 713);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макаронные изделия из пшеницы с 25 до 15 % (</w:t>
      </w:r>
      <w:hyperlink r:id="rId17" w:anchor="a543" w:tooltip="+" w:history="1">
        <w:r>
          <w:rPr>
            <w:rStyle w:val="a3"/>
            <w:lang w:val="ru-RU"/>
          </w:rPr>
          <w:t>п.67</w:t>
        </w:r>
      </w:hyperlink>
      <w:r>
        <w:rPr>
          <w:lang w:val="ru-RU"/>
        </w:rPr>
        <w:t xml:space="preserve"> приложения 1</w:t>
      </w:r>
      <w:r>
        <w:rPr>
          <w:lang w:val="ru-RU"/>
        </w:rPr>
        <w:t xml:space="preserve"> к постановлению № 713);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сок, нектар овощной, плодоовощной с 30 до 10 % (</w:t>
      </w:r>
      <w:hyperlink r:id="rId18" w:anchor="a544" w:tooltip="+" w:history="1">
        <w:r>
          <w:rPr>
            <w:rStyle w:val="a3"/>
            <w:lang w:val="ru-RU"/>
          </w:rPr>
          <w:t>п.110</w:t>
        </w:r>
      </w:hyperlink>
      <w:r>
        <w:rPr>
          <w:lang w:val="ru-RU"/>
        </w:rPr>
        <w:t xml:space="preserve"> приложения 1 к постановлению № 713);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сок, нектар фруктовый, ягодный до 10 %. Ранее применялась надбавка 30 % при реали</w:t>
      </w:r>
      <w:r>
        <w:rPr>
          <w:lang w:val="ru-RU"/>
        </w:rPr>
        <w:t>зации юрлицам и ИП, кроме реализуемой в собственном торговом объекте и 20 % при реализации в собственном торговом объекте (</w:t>
      </w:r>
      <w:hyperlink r:id="rId19" w:anchor="a535" w:tooltip="+" w:history="1">
        <w:r>
          <w:rPr>
            <w:rStyle w:val="a3"/>
            <w:lang w:val="ru-RU"/>
          </w:rPr>
          <w:t>п.114</w:t>
        </w:r>
      </w:hyperlink>
      <w:r>
        <w:rPr>
          <w:lang w:val="ru-RU"/>
        </w:rPr>
        <w:t xml:space="preserve"> приложения 1 к постановлению № 713);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 xml:space="preserve">• чулочно-носочные изделия (носки, </w:t>
      </w:r>
      <w:r>
        <w:rPr>
          <w:lang w:val="ru-RU"/>
        </w:rPr>
        <w:t>колготки, гольфы, получулки) с 15 до 5 % (пп.</w:t>
      </w:r>
      <w:hyperlink r:id="rId20" w:anchor="a545" w:tooltip="+" w:history="1">
        <w:r>
          <w:rPr>
            <w:rStyle w:val="a3"/>
            <w:lang w:val="ru-RU"/>
          </w:rPr>
          <w:t>138</w:t>
        </w:r>
      </w:hyperlink>
      <w:r>
        <w:rPr>
          <w:lang w:val="ru-RU"/>
        </w:rPr>
        <w:t xml:space="preserve">, </w:t>
      </w:r>
      <w:hyperlink r:id="rId21" w:anchor="a537" w:tooltip="+" w:history="1">
        <w:r>
          <w:rPr>
            <w:rStyle w:val="a3"/>
            <w:lang w:val="ru-RU"/>
          </w:rPr>
          <w:t>163</w:t>
        </w:r>
      </w:hyperlink>
      <w:r>
        <w:rPr>
          <w:lang w:val="ru-RU"/>
        </w:rPr>
        <w:t xml:space="preserve">, </w:t>
      </w:r>
      <w:hyperlink r:id="rId22" w:anchor="a546" w:tooltip="+" w:history="1">
        <w:r>
          <w:rPr>
            <w:rStyle w:val="a3"/>
            <w:lang w:val="ru-RU"/>
          </w:rPr>
          <w:t>167</w:t>
        </w:r>
      </w:hyperlink>
      <w:r>
        <w:rPr>
          <w:lang w:val="ru-RU"/>
        </w:rPr>
        <w:t xml:space="preserve"> и </w:t>
      </w:r>
      <w:hyperlink r:id="rId23" w:anchor="a547" w:tooltip="+" w:history="1">
        <w:r>
          <w:rPr>
            <w:rStyle w:val="a3"/>
            <w:lang w:val="ru-RU"/>
          </w:rPr>
          <w:t>181</w:t>
        </w:r>
      </w:hyperlink>
      <w:r>
        <w:rPr>
          <w:lang w:val="ru-RU"/>
        </w:rPr>
        <w:t xml:space="preserve"> приложения 1 к постановлению № 713);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плитку керамическую с 15 до 10 % (</w:t>
      </w:r>
      <w:hyperlink r:id="rId24" w:anchor="a475" w:tooltip="+" w:history="1">
        <w:r>
          <w:rPr>
            <w:rStyle w:val="a3"/>
            <w:lang w:val="ru-RU"/>
          </w:rPr>
          <w:t>п.257</w:t>
        </w:r>
      </w:hyperlink>
      <w:r>
        <w:rPr>
          <w:lang w:val="ru-RU"/>
        </w:rPr>
        <w:t xml:space="preserve"> приложения 1 к постановлению № 713);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зубную пасту при реализации в собственном торговом объекте с 40 до 20 % (</w:t>
      </w:r>
      <w:hyperlink r:id="rId25" w:anchor="a548" w:tooltip="+" w:history="1">
        <w:r>
          <w:rPr>
            <w:rStyle w:val="a3"/>
            <w:lang w:val="ru-RU"/>
          </w:rPr>
          <w:t>п.307</w:t>
        </w:r>
      </w:hyperlink>
      <w:r>
        <w:rPr>
          <w:lang w:val="ru-RU"/>
        </w:rPr>
        <w:t xml:space="preserve"> приложения к постановлению № 713).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Цены на остатки таких потребительских товаров, сложившиеся на 18 октября 2024 г., под</w:t>
      </w:r>
      <w:r>
        <w:rPr>
          <w:lang w:val="ru-RU"/>
        </w:rPr>
        <w:t xml:space="preserve">лежат приведению в соответствие с </w:t>
      </w:r>
      <w:hyperlink r:id="rId26" w:anchor="a19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№ 713 в следующем порядке: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1) потребительские товары являются остатками, сложившимися на 26 октября 2022 г., и не было нового поступления таких же товаров</w:t>
      </w:r>
      <w:r>
        <w:rPr>
          <w:lang w:val="ru-RU"/>
        </w:rPr>
        <w:t xml:space="preserve"> - в порядке, предусмотренном в </w:t>
      </w:r>
      <w:hyperlink r:id="rId27" w:anchor="a66" w:tooltip="+" w:history="1">
        <w:r>
          <w:rPr>
            <w:rStyle w:val="a3"/>
            <w:lang w:val="ru-RU"/>
          </w:rPr>
          <w:t>п.16</w:t>
        </w:r>
      </w:hyperlink>
      <w:r>
        <w:rPr>
          <w:lang w:val="ru-RU"/>
        </w:rPr>
        <w:t xml:space="preserve"> постановления № 713;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2) потребительские товары являются иными остатками - до 25 октября 2024 г.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Изменения вступают в силу с 21.10.2024 и 29.10.2024 соответственно (аб</w:t>
      </w:r>
      <w:r>
        <w:rPr>
          <w:lang w:val="ru-RU"/>
        </w:rPr>
        <w:t>з.</w:t>
      </w:r>
      <w:hyperlink r:id="rId28" w:anchor="a7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 и 3 п.3 постановления № 713(5)).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При формировании отпускных цен на вышеуказанные товары, которые поступят 18.10.2024 и позже, импортерам необходимо применять новые (сниженные) размеры надбавок. Цены на</w:t>
      </w:r>
      <w:r>
        <w:rPr>
          <w:lang w:val="ru-RU"/>
        </w:rPr>
        <w:t xml:space="preserve"> остатки этих товаров, сложившиеся на 18.10.2024, им необходимо откорректировать до 25.10.2024.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Если товары являются остатками на 26.10.2022 и после этой даты не было нового поступления, то эти остатки реализуются (</w:t>
      </w:r>
      <w:hyperlink r:id="rId29" w:anchor="a6" w:tooltip="+" w:history="1">
        <w:r>
          <w:rPr>
            <w:rStyle w:val="a3"/>
            <w:lang w:val="ru-RU"/>
          </w:rPr>
          <w:t>п.2</w:t>
        </w:r>
      </w:hyperlink>
      <w:r>
        <w:rPr>
          <w:lang w:val="ru-RU"/>
        </w:rPr>
        <w:t xml:space="preserve"> постановления № 713(5)):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до нового поступления таких же товаров - по ценам, не превышающим уровень, сложившийся на 19.10.2022;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при новом поступлении таких же товаров </w:t>
      </w:r>
      <w:r>
        <w:rPr>
          <w:lang w:val="ru-RU"/>
        </w:rPr>
        <w:t>- по ценам, не выше сформированных на вновь поступившие товары.</w:t>
      </w:r>
    </w:p>
    <w:p w:rsidR="00000000" w:rsidRDefault="0048175F">
      <w:pPr>
        <w:pStyle w:val="2"/>
        <w:rPr>
          <w:rFonts w:eastAsia="Times New Roman"/>
          <w:lang w:val="ru-RU"/>
        </w:rPr>
      </w:pPr>
      <w:bookmarkStart w:id="4" w:name="a3"/>
      <w:bookmarkEnd w:id="4"/>
      <w:r>
        <w:rPr>
          <w:rFonts w:eastAsia="Times New Roman"/>
          <w:lang w:val="ru-RU"/>
        </w:rPr>
        <w:t>Отменено регулирование цен на отдельные непродовольственные товары премиум класса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 xml:space="preserve">Из ценового регулирования выведены отдельные непродовольственные товары премиум класса, реализуемые в высоком </w:t>
      </w:r>
      <w:r>
        <w:rPr>
          <w:lang w:val="ru-RU"/>
        </w:rPr>
        <w:t>ценовом сегменте.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 xml:space="preserve">Предусмотрено, что требования </w:t>
      </w:r>
      <w:hyperlink r:id="rId30" w:anchor="a19" w:tooltip="+" w:history="1">
        <w:r>
          <w:rPr>
            <w:rStyle w:val="a3"/>
            <w:lang w:val="ru-RU"/>
          </w:rPr>
          <w:t>постановления</w:t>
        </w:r>
      </w:hyperlink>
      <w:r>
        <w:rPr>
          <w:lang w:val="ru-RU"/>
        </w:rPr>
        <w:t xml:space="preserve"> № 713 не распространяются на отношения, связанные с реализацией импортируемых потребительских товаров торговых марок, включенных ГТК в группу</w:t>
      </w:r>
      <w:r>
        <w:rPr>
          <w:lang w:val="ru-RU"/>
        </w:rPr>
        <w:t> 1 торговых марок для целей таможенного декларирования.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Наименования таких торговых марок предусмотрены в таблицах </w:t>
      </w:r>
      <w:hyperlink r:id="rId31" w:anchor="a44" w:tooltip="+" w:history="1">
        <w:r>
          <w:rPr>
            <w:rStyle w:val="a3"/>
            <w:lang w:val="ru-RU"/>
          </w:rPr>
          <w:t>1-4</w:t>
        </w:r>
      </w:hyperlink>
      <w:r>
        <w:rPr>
          <w:lang w:val="ru-RU"/>
        </w:rPr>
        <w:t xml:space="preserve"> приложения 4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к постановлению ГТК от 12.02.2016 № 5. В группу 1 включены люксовые то</w:t>
      </w:r>
      <w:r>
        <w:rPr>
          <w:lang w:val="ru-RU"/>
        </w:rPr>
        <w:t>рговые марки парфюмерии и косметики, предметов одежды, шин и покрышек, принадлежностей к одежде и аксессуаров, обуви.</w:t>
      </w:r>
    </w:p>
    <w:p w:rsidR="00000000" w:rsidRDefault="0048175F">
      <w:pPr>
        <w:pStyle w:val="2"/>
        <w:rPr>
          <w:rFonts w:eastAsia="Times New Roman"/>
          <w:lang w:val="ru-RU"/>
        </w:rPr>
      </w:pPr>
      <w:bookmarkStart w:id="5" w:name="a4"/>
      <w:bookmarkEnd w:id="5"/>
      <w:r>
        <w:rPr>
          <w:rFonts w:eastAsia="Times New Roman"/>
          <w:lang w:val="ru-RU"/>
        </w:rPr>
        <w:t>Полномочия МАРТ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Уточнены основания, при возникновении которых МАРТ вправе выносить уполномоченным органам (их комиссиям) предписание о при</w:t>
      </w:r>
      <w:r>
        <w:rPr>
          <w:lang w:val="ru-RU"/>
        </w:rPr>
        <w:t>знании утратившими силу их решений о согласовании отпускных цен (</w:t>
      </w:r>
      <w:hyperlink r:id="rId32" w:anchor="a549" w:tooltip="+" w:history="1">
        <w:r>
          <w:rPr>
            <w:rStyle w:val="a3"/>
            <w:lang w:val="ru-RU"/>
          </w:rPr>
          <w:t>ч.3</w:t>
        </w:r>
      </w:hyperlink>
      <w:r>
        <w:rPr>
          <w:lang w:val="ru-RU"/>
        </w:rPr>
        <w:t xml:space="preserve"> п.4 и в </w:t>
      </w:r>
      <w:hyperlink r:id="rId33" w:anchor="a550" w:tooltip="+" w:history="1">
        <w:r>
          <w:rPr>
            <w:rStyle w:val="a3"/>
            <w:lang w:val="ru-RU"/>
          </w:rPr>
          <w:t>ч.4</w:t>
        </w:r>
      </w:hyperlink>
      <w:r>
        <w:rPr>
          <w:lang w:val="ru-RU"/>
        </w:rPr>
        <w:t xml:space="preserve"> п.4</w:t>
      </w:r>
      <w:r>
        <w:rPr>
          <w:vertAlign w:val="superscript"/>
          <w:lang w:val="ru-RU"/>
        </w:rPr>
        <w:t>1</w:t>
      </w:r>
      <w:r>
        <w:rPr>
          <w:lang w:val="ru-RU"/>
        </w:rPr>
        <w:t>постановления № 713).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Такими основаниями определены: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невыпо</w:t>
      </w:r>
      <w:r>
        <w:rPr>
          <w:lang w:val="ru-RU"/>
        </w:rPr>
        <w:t>лнение установленного параметра по индексу потребительских цен;</w:t>
      </w:r>
    </w:p>
    <w:p w:rsidR="00000000" w:rsidRDefault="0048175F">
      <w:pPr>
        <w:pStyle w:val="listtext1"/>
        <w:rPr>
          <w:lang w:val="ru-RU"/>
        </w:rPr>
      </w:pPr>
      <w:r>
        <w:rPr>
          <w:lang w:val="ru-RU"/>
        </w:rPr>
        <w:t>• влияния на прирост индекса потребительских цен по потребительским товарам, относящимся к видам товаров, которые занимают более 0,05 % в структуре потребительских расходов населения и в отнош</w:t>
      </w:r>
      <w:r>
        <w:rPr>
          <w:lang w:val="ru-RU"/>
        </w:rPr>
        <w:t>ении которых превышен показатель ежемесячного допустимого роста цен, определяемый МАРТ.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4817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48175F">
            <w:pPr>
              <w:pStyle w:val="primsit"/>
            </w:pPr>
            <w:r>
              <w:t>Справочно</w:t>
            </w:r>
          </w:p>
          <w:p w:rsidR="00000000" w:rsidRDefault="0048175F">
            <w:pPr>
              <w:pStyle w:val="insettext11"/>
            </w:pPr>
            <w:r>
              <w:t>Ранее МАРТ выносил такое предписание в случае невыполнения установленного параметра по индексу потребительских цен. Аналогичная корректировка внесена и по производителям (</w:t>
            </w:r>
            <w:hyperlink r:id="rId34" w:anchor="a8" w:tooltip="+" w:history="1">
              <w:r>
                <w:rPr>
                  <w:rStyle w:val="a3"/>
                </w:rPr>
                <w:t>абз.4</w:t>
              </w:r>
            </w:hyperlink>
            <w:r>
              <w:t xml:space="preserve"> п.1 постановления № 713(5)).</w:t>
            </w:r>
          </w:p>
        </w:tc>
      </w:tr>
    </w:tbl>
    <w:p w:rsidR="00000000" w:rsidRDefault="0048175F">
      <w:pPr>
        <w:pStyle w:val="2"/>
        <w:rPr>
          <w:rFonts w:eastAsia="Times New Roman"/>
          <w:lang w:val="ru-RU"/>
        </w:rPr>
      </w:pPr>
      <w:bookmarkStart w:id="6" w:name="a5"/>
      <w:bookmarkEnd w:id="6"/>
      <w:r>
        <w:rPr>
          <w:rFonts w:eastAsia="Times New Roman"/>
          <w:lang w:val="ru-RU"/>
        </w:rPr>
        <w:t>Ежемесячное повышение цен без согласования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 xml:space="preserve">Уточнено, что базой для ежемесячного повышения без согласования отпускных цен на потребительские товары в пределах 0,3 % является максимальная отпускная цена реализации в предыдущем месяце исключительно </w:t>
      </w:r>
      <w:r>
        <w:rPr>
          <w:b/>
          <w:bCs/>
          <w:lang w:val="ru-RU"/>
        </w:rPr>
        <w:t>на внутренний рынок</w:t>
      </w:r>
      <w:r>
        <w:rPr>
          <w:lang w:val="ru-RU"/>
        </w:rPr>
        <w:t>, а в случае отсутствия реализации</w:t>
      </w:r>
      <w:r>
        <w:rPr>
          <w:lang w:val="ru-RU"/>
        </w:rPr>
        <w:t xml:space="preserve"> в предыдущем месяце - последняя отпускная цена реализации </w:t>
      </w:r>
      <w:r>
        <w:rPr>
          <w:b/>
          <w:bCs/>
          <w:lang w:val="ru-RU"/>
        </w:rPr>
        <w:t>на внутренний рынок</w:t>
      </w:r>
      <w:r>
        <w:rPr>
          <w:lang w:val="ru-RU"/>
        </w:rPr>
        <w:t xml:space="preserve"> (внесены корректировки в </w:t>
      </w:r>
      <w:hyperlink r:id="rId35" w:anchor="a551" w:tooltip="+" w:history="1">
        <w:r>
          <w:rPr>
            <w:rStyle w:val="a3"/>
            <w:lang w:val="ru-RU"/>
          </w:rPr>
          <w:t>подп.3.7</w:t>
        </w:r>
      </w:hyperlink>
      <w:r>
        <w:rPr>
          <w:lang w:val="ru-RU"/>
        </w:rPr>
        <w:t xml:space="preserve"> п.3 и </w:t>
      </w:r>
      <w:hyperlink r:id="rId36" w:anchor="a552" w:tooltip="+" w:history="1">
        <w:r>
          <w:rPr>
            <w:rStyle w:val="a3"/>
            <w:lang w:val="ru-RU"/>
          </w:rPr>
          <w:t>п.4</w:t>
        </w:r>
        <w:r>
          <w:rPr>
            <w:rStyle w:val="a3"/>
            <w:vertAlign w:val="superscript"/>
            <w:lang w:val="ru-RU"/>
          </w:rPr>
          <w:t>2</w:t>
        </w:r>
      </w:hyperlink>
      <w:r>
        <w:rPr>
          <w:lang w:val="ru-RU"/>
        </w:rPr>
        <w:t xml:space="preserve"> постановления № 713).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20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4817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48175F">
            <w:pPr>
              <w:pStyle w:val="primsit"/>
            </w:pPr>
            <w:r>
              <w:t>Справочно</w:t>
            </w:r>
          </w:p>
          <w:p w:rsidR="00000000" w:rsidRDefault="0048175F">
            <w:pPr>
              <w:pStyle w:val="insettext11"/>
            </w:pPr>
            <w:r>
              <w:t xml:space="preserve">В соответствии с </w:t>
            </w:r>
            <w:hyperlink r:id="rId38" w:anchor="a553" w:tooltip="+" w:history="1">
              <w:r>
                <w:rPr>
                  <w:rStyle w:val="a3"/>
                </w:rPr>
                <w:t>п.1</w:t>
              </w:r>
            </w:hyperlink>
            <w:r>
              <w:t xml:space="preserve"> постановления № 713 введенное им регулирование цен распространяется на товары, производимые (ввозимые) и (или) реализуемые ю</w:t>
            </w:r>
            <w:r>
              <w:t xml:space="preserve">ридическими лицами и индивидуальными предпринимателями на внутренний рынок Республики Беларусь, указанные в перечне согласно </w:t>
            </w:r>
            <w:hyperlink r:id="rId39" w:anchor="a385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 постановлению № 713.</w:t>
            </w:r>
          </w:p>
          <w:p w:rsidR="00000000" w:rsidRDefault="0048175F">
            <w:pPr>
              <w:pStyle w:val="insettext11"/>
            </w:pPr>
            <w:r>
              <w:t>Так, базой для повышения отпускных цен н</w:t>
            </w:r>
            <w:r>
              <w:t>а потребительские товары также могут быть цены, применяемые на внутреннем рынке.</w:t>
            </w:r>
          </w:p>
        </w:tc>
      </w:tr>
    </w:tbl>
    <w:p w:rsidR="00000000" w:rsidRDefault="0048175F">
      <w:pPr>
        <w:pStyle w:val="2"/>
        <w:rPr>
          <w:rFonts w:eastAsia="Times New Roman"/>
          <w:lang w:val="ru-RU"/>
        </w:rPr>
      </w:pPr>
      <w:bookmarkStart w:id="7" w:name="a6"/>
      <w:bookmarkEnd w:id="7"/>
      <w:r>
        <w:rPr>
          <w:rFonts w:eastAsia="Times New Roman"/>
          <w:lang w:val="ru-RU"/>
        </w:rPr>
        <w:t>Выплаты вознаграждений поставщикам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 xml:space="preserve">Предоставлена </w:t>
      </w:r>
      <w:r>
        <w:rPr>
          <w:b/>
          <w:bCs/>
          <w:lang w:val="ru-RU"/>
        </w:rPr>
        <w:t>возможность выплаты вознаграждений в виде платы за оказание услуг по хранению товаров, требующих</w:t>
      </w:r>
      <w:r>
        <w:rPr>
          <w:lang w:val="ru-RU"/>
        </w:rPr>
        <w:t xml:space="preserve"> для сохранения качества и бе</w:t>
      </w:r>
      <w:r>
        <w:rPr>
          <w:lang w:val="ru-RU"/>
        </w:rPr>
        <w:t xml:space="preserve">зопасности соблюдения </w:t>
      </w:r>
      <w:r>
        <w:rPr>
          <w:b/>
          <w:bCs/>
          <w:lang w:val="ru-RU"/>
        </w:rPr>
        <w:t>специальных температурных режимов</w:t>
      </w:r>
      <w:r>
        <w:rPr>
          <w:lang w:val="ru-RU"/>
        </w:rPr>
        <w:t xml:space="preserve"> (кроме услуг по хранению товаров в помещениях, в которых расположены торговые объекты субъекта, осуществляющего розничную торговлю).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При этом предусмотрено, что субъектом, осуществляющим розничную тор</w:t>
      </w:r>
      <w:r>
        <w:rPr>
          <w:lang w:val="ru-RU"/>
        </w:rPr>
        <w:t xml:space="preserve">говлю и оказывающим услуги по хранению таких товаров устанавливаются единые тарифы на такие услуги при равных условиях для всех поклажедателей (внесены соответствующие дополнения в </w:t>
      </w:r>
      <w:hyperlink r:id="rId40" w:anchor="a382" w:tooltip="+" w:history="1">
        <w:r>
          <w:rPr>
            <w:rStyle w:val="a3"/>
            <w:lang w:val="ru-RU"/>
          </w:rPr>
          <w:t>п.15</w:t>
        </w:r>
      </w:hyperlink>
      <w:r>
        <w:rPr>
          <w:lang w:val="ru-RU"/>
        </w:rPr>
        <w:t xml:space="preserve"> постановления №</w:t>
      </w:r>
      <w:r>
        <w:rPr>
          <w:lang w:val="ru-RU"/>
        </w:rPr>
        <w:t> 713).</w:t>
      </w:r>
    </w:p>
    <w:p w:rsidR="00000000" w:rsidRDefault="0048175F">
      <w:pPr>
        <w:pStyle w:val="2"/>
        <w:rPr>
          <w:rFonts w:eastAsia="Times New Roman"/>
          <w:lang w:val="ru-RU"/>
        </w:rPr>
      </w:pPr>
      <w:bookmarkStart w:id="8" w:name="a7"/>
      <w:bookmarkEnd w:id="8"/>
      <w:r>
        <w:rPr>
          <w:rFonts w:eastAsia="Times New Roman"/>
          <w:lang w:val="ru-RU"/>
        </w:rPr>
        <w:t>Расходы по доставке в потребкооперации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>Внесены корректировки в порядок включения организациями потребительской кооперации в отпускные цены расходов по доставке.</w:t>
      </w:r>
    </w:p>
    <w:p w:rsidR="00000000" w:rsidRDefault="0048175F">
      <w:pPr>
        <w:pStyle w:val="justify"/>
        <w:rPr>
          <w:lang w:val="ru-RU"/>
        </w:rPr>
      </w:pPr>
      <w:r>
        <w:rPr>
          <w:lang w:val="ru-RU"/>
        </w:rPr>
        <w:t xml:space="preserve">Облисполкомами ежегодно за счет средств областных бюджетов организациям потребительской </w:t>
      </w:r>
      <w:r>
        <w:rPr>
          <w:lang w:val="ru-RU"/>
        </w:rPr>
        <w:t>кооперации предоставляются субсидии на возмещение стоимости израсходованного топлива с учетом НДС по доставке товаров автомагазинами и в стационарные торговые объекты потребительской кооперации, расположенные на территории сельской местности. Указанные суб</w:t>
      </w:r>
      <w:r>
        <w:rPr>
          <w:lang w:val="ru-RU"/>
        </w:rPr>
        <w:t>сидии предоставляются в порядке и размерах, определяемых Совмином (</w:t>
      </w:r>
      <w:hyperlink r:id="rId41" w:anchor="a14" w:tooltip="+" w:history="1">
        <w:r>
          <w:rPr>
            <w:rStyle w:val="a3"/>
            <w:lang w:val="ru-RU"/>
          </w:rPr>
          <w:t>п.4</w:t>
        </w:r>
      </w:hyperlink>
      <w:r>
        <w:rPr>
          <w:lang w:val="ru-RU"/>
        </w:rPr>
        <w:t xml:space="preserve"> Указа от 05.08.2024 № 309 «О поддержке организаций потребительской кооперации»).</w:t>
      </w:r>
    </w:p>
    <w:p w:rsidR="0048175F" w:rsidRDefault="0048175F">
      <w:pPr>
        <w:pStyle w:val="justify"/>
        <w:rPr>
          <w:lang w:val="ru-RU"/>
        </w:rPr>
      </w:pPr>
      <w:r>
        <w:rPr>
          <w:lang w:val="ru-RU"/>
        </w:rPr>
        <w:t>В связи с этим определено, что такие субсидии вычит</w:t>
      </w:r>
      <w:r>
        <w:rPr>
          <w:lang w:val="ru-RU"/>
        </w:rPr>
        <w:t xml:space="preserve">аются из сумм расходов по доставке потребительских товаров, относимых на увеличение цен (внесено соответствующее дополнение в </w:t>
      </w:r>
      <w:hyperlink r:id="rId42" w:anchor="a222" w:tooltip="+" w:history="1">
        <w:r>
          <w:rPr>
            <w:rStyle w:val="a3"/>
            <w:lang w:val="ru-RU"/>
          </w:rPr>
          <w:t>п.11</w:t>
        </w:r>
      </w:hyperlink>
      <w:r>
        <w:rPr>
          <w:lang w:val="ru-RU"/>
        </w:rPr>
        <w:t xml:space="preserve"> постановления № 713).</w:t>
      </w:r>
    </w:p>
    <w:sectPr w:rsidR="0048175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85"/>
    <w:rsid w:val="00027E85"/>
    <w:rsid w:val="0048175F"/>
    <w:rsid w:val="006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5892-EE6C-4ABF-8808-40C8C5D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49509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904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14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584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369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451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356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1437873172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45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47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63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file:///C:\Users\Kaxanovskaya_IA\Downloads\tx.dll%3fd=614623&amp;a=544" TargetMode="External"/><Relationship Id="rId26" Type="http://schemas.openxmlformats.org/officeDocument/2006/relationships/hyperlink" Target="file:///C:\Users\Kaxanovskaya_IA\Downloads\tx.dll%3fd=614623&amp;a=19" TargetMode="External"/><Relationship Id="rId39" Type="http://schemas.openxmlformats.org/officeDocument/2006/relationships/hyperlink" Target="file:///C:\Users\Kaxanovskaya_IA\Downloads\tx.dll%3fd=614623&amp;a=385" TargetMode="External"/><Relationship Id="rId21" Type="http://schemas.openxmlformats.org/officeDocument/2006/relationships/hyperlink" Target="file:///C:\Users\Kaxanovskaya_IA\Downloads\tx.dll%3fd=614623&amp;a=537" TargetMode="External"/><Relationship Id="rId34" Type="http://schemas.openxmlformats.org/officeDocument/2006/relationships/hyperlink" Target="file:///C:\Users\Kaxanovskaya_IA\Downloads\tx.dll%3fd=686835&amp;a=8" TargetMode="External"/><Relationship Id="rId42" Type="http://schemas.openxmlformats.org/officeDocument/2006/relationships/hyperlink" Target="file:///C:\Users\Kaxanovskaya_IA\Downloads\tx.dll%3fd=614623&amp;a=222" TargetMode="External"/><Relationship Id="rId7" Type="http://schemas.openxmlformats.org/officeDocument/2006/relationships/hyperlink" Target="file:///C:\Users\Kaxanovskaya_IA\Downloads\tx.dll%3fd=614623&amp;a=1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axanovskaya_IA\Downloads\tx.dll%3fd=614623&amp;a=532" TargetMode="External"/><Relationship Id="rId20" Type="http://schemas.openxmlformats.org/officeDocument/2006/relationships/hyperlink" Target="file:///C:\Users\Kaxanovskaya_IA\Downloads\tx.dll%3fd=614623&amp;a=545" TargetMode="External"/><Relationship Id="rId29" Type="http://schemas.openxmlformats.org/officeDocument/2006/relationships/hyperlink" Target="file:///C:\Users\Kaxanovskaya_IA\Downloads\tx.dll%3fd=686835&amp;a=6" TargetMode="External"/><Relationship Id="rId41" Type="http://schemas.openxmlformats.org/officeDocument/2006/relationships/hyperlink" Target="file:///C:\Users\Kaxanovskaya_IA\Downloads\tx.dll%3fd=678881&amp;a=1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hyperlink" Target="file:///C:\Users\Kaxanovskaya_IA\Downloads\tx.dll%3fd=614623&amp;a=475" TargetMode="External"/><Relationship Id="rId32" Type="http://schemas.openxmlformats.org/officeDocument/2006/relationships/hyperlink" Target="file:///C:\Users\Kaxanovskaya_IA\Downloads\tx.dll%3fd=614623&amp;a=549" TargetMode="External"/><Relationship Id="rId37" Type="http://schemas.openxmlformats.org/officeDocument/2006/relationships/image" Target="media/image5.png"/><Relationship Id="rId40" Type="http://schemas.openxmlformats.org/officeDocument/2006/relationships/hyperlink" Target="file:///C:\Users\Kaxanovskaya_IA\Downloads\tx.dll%3fd=614623&amp;a=382" TargetMode="External"/><Relationship Id="rId5" Type="http://schemas.openxmlformats.org/officeDocument/2006/relationships/hyperlink" Target="file:///C:\Users\Kaxanovskaya_IA\Downloads\tx.dll%3fd=686835&amp;a=4" TargetMode="External"/><Relationship Id="rId15" Type="http://schemas.openxmlformats.org/officeDocument/2006/relationships/hyperlink" Target="file:///C:\Users\Kaxanovskaya_IA\Downloads\tx.dll%3fd=614623&amp;a=542" TargetMode="External"/><Relationship Id="rId23" Type="http://schemas.openxmlformats.org/officeDocument/2006/relationships/hyperlink" Target="file:///C:\Users\Kaxanovskaya_IA\Downloads\tx.dll%3fd=614623&amp;a=547" TargetMode="External"/><Relationship Id="rId28" Type="http://schemas.openxmlformats.org/officeDocument/2006/relationships/hyperlink" Target="file:///C:\Users\Kaxanovskaya_IA\Downloads\tx.dll%3fd=686835&amp;a=7" TargetMode="External"/><Relationship Id="rId36" Type="http://schemas.openxmlformats.org/officeDocument/2006/relationships/hyperlink" Target="file:///C:\Users\Kaxanovskaya_IA\Downloads\tx.dll%3fd=614623&amp;a=552" TargetMode="External"/><Relationship Id="rId10" Type="http://schemas.openxmlformats.org/officeDocument/2006/relationships/hyperlink" Target="file:///C:\Users\Kaxanovskaya_IA\Downloads\tx.dll%3fd=614623&amp;a=19" TargetMode="External"/><Relationship Id="rId19" Type="http://schemas.openxmlformats.org/officeDocument/2006/relationships/hyperlink" Target="file:///C:\Users\Kaxanovskaya_IA\Downloads\tx.dll%3fd=614623&amp;a=535" TargetMode="External"/><Relationship Id="rId31" Type="http://schemas.openxmlformats.org/officeDocument/2006/relationships/hyperlink" Target="file:///C:\Users\Kaxanovskaya_IA\Downloads\tx.dll%3fd=317080&amp;a=4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file:///C:\Users\Kaxanovskaya_IA\Downloads\tx.dll%3fd=686835&amp;a=4" TargetMode="External"/><Relationship Id="rId14" Type="http://schemas.openxmlformats.org/officeDocument/2006/relationships/hyperlink" Target="file:///C:\Users\Kaxanovskaya_IA\Downloads\tx.dll%3fd=614623&amp;a=541" TargetMode="External"/><Relationship Id="rId22" Type="http://schemas.openxmlformats.org/officeDocument/2006/relationships/hyperlink" Target="file:///C:\Users\Kaxanovskaya_IA\Downloads\tx.dll%3fd=614623&amp;a=546" TargetMode="External"/><Relationship Id="rId27" Type="http://schemas.openxmlformats.org/officeDocument/2006/relationships/hyperlink" Target="file:///C:\Users\Kaxanovskaya_IA\Downloads\tx.dll%3fd=614623&amp;a=66" TargetMode="External"/><Relationship Id="rId30" Type="http://schemas.openxmlformats.org/officeDocument/2006/relationships/hyperlink" Target="file:///C:\Users\Kaxanovskaya_IA\Downloads\tx.dll%3fd=614623&amp;a=19" TargetMode="External"/><Relationship Id="rId35" Type="http://schemas.openxmlformats.org/officeDocument/2006/relationships/hyperlink" Target="file:///C:\Users\Kaxanovskaya_IA\Downloads\tx.dll%3fd=614623&amp;a=551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C:\Users\Kaxanovskaya_IA\Downloads\tx.dll%3fd=614623&amp;a=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Kaxanovskaya_IA\Downloads\tx.dll%3fd=254118" TargetMode="External"/><Relationship Id="rId17" Type="http://schemas.openxmlformats.org/officeDocument/2006/relationships/hyperlink" Target="file:///C:\Users\Kaxanovskaya_IA\Downloads\tx.dll%3fd=614623&amp;a=543" TargetMode="External"/><Relationship Id="rId25" Type="http://schemas.openxmlformats.org/officeDocument/2006/relationships/hyperlink" Target="file:///C:\Users\Kaxanovskaya_IA\Downloads\tx.dll%3fd=614623&amp;a=548" TargetMode="External"/><Relationship Id="rId33" Type="http://schemas.openxmlformats.org/officeDocument/2006/relationships/hyperlink" Target="file:///C:\Users\Kaxanovskaya_IA\Downloads\tx.dll%3fd=614623&amp;a=550" TargetMode="External"/><Relationship Id="rId38" Type="http://schemas.openxmlformats.org/officeDocument/2006/relationships/hyperlink" Target="file:///C:\Users\Kaxanovskaya_IA\Downloads\tx.dll%3fd=614623&amp;a=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Кахановская Ирина Александровна</dc:creator>
  <cp:lastModifiedBy>Кахановская Ирина Александровна</cp:lastModifiedBy>
  <cp:revision>2</cp:revision>
  <dcterms:created xsi:type="dcterms:W3CDTF">2024-11-01T08:11:00Z</dcterms:created>
  <dcterms:modified xsi:type="dcterms:W3CDTF">2024-11-01T08:11:00Z</dcterms:modified>
</cp:coreProperties>
</file>