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923363" w:rsidRPr="00A56FA2" w:rsidTr="001D6304">
        <w:tc>
          <w:tcPr>
            <w:tcW w:w="10031" w:type="dxa"/>
            <w:gridSpan w:val="2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ЧАУССКИЙ РАЙОННЫЙ ИСПОЛНИТЕЛЬНЫЙ КОМИТЕТ</w:t>
            </w: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 ИДЕОЛОГИЧЕСКОЙ РАБОТЫ</w:t>
            </w: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ПО ДЕЛАМ МОЛОДЕЖИ</w:t>
            </w: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4F0773" w:rsidRDefault="00923363" w:rsidP="00923363">
            <w:pPr>
              <w:spacing w:after="0" w:line="240" w:lineRule="auto"/>
              <w:ind w:left="-1134" w:right="-143" w:firstLine="709"/>
              <w:jc w:val="center"/>
              <w:rPr>
                <w:rFonts w:ascii="Times New Roman" w:eastAsia="Calibri" w:hAnsi="Times New Roman" w:cs="Times New Roman"/>
                <w:b/>
                <w:sz w:val="42"/>
                <w:szCs w:val="42"/>
              </w:rPr>
            </w:pPr>
            <w:bookmarkStart w:id="0" w:name="_Hlk166226638"/>
            <w:r w:rsidRPr="004F0773">
              <w:rPr>
                <w:rFonts w:ascii="Times New Roman" w:eastAsia="Calibri" w:hAnsi="Times New Roman" w:cs="Times New Roman"/>
                <w:b/>
                <w:sz w:val="42"/>
                <w:szCs w:val="42"/>
              </w:rPr>
              <w:t xml:space="preserve">ИНФОРМАЦИОННАЯ ГИГИЕНА </w:t>
            </w:r>
          </w:p>
          <w:p w:rsidR="00923363" w:rsidRPr="00A056EB" w:rsidRDefault="00923363" w:rsidP="00923363">
            <w:pPr>
              <w:spacing w:after="0" w:line="240" w:lineRule="auto"/>
              <w:ind w:left="-1134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4F0773">
              <w:rPr>
                <w:rFonts w:ascii="Times New Roman" w:eastAsia="Calibri" w:hAnsi="Times New Roman" w:cs="Times New Roman"/>
                <w:b/>
                <w:sz w:val="42"/>
                <w:szCs w:val="42"/>
              </w:rPr>
              <w:t>ИЛИ КАК НЕ СТАТЬ ЖЕРТВОЙ ДЕЗИНФОРМАЦИИ</w:t>
            </w:r>
          </w:p>
          <w:bookmarkEnd w:id="0"/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  для информационно-пропагандистских групп</w:t>
            </w: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Чаусы,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август</w:t>
            </w: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2024</w:t>
            </w: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3363" w:rsidRPr="00A56FA2" w:rsidTr="001D6304">
        <w:trPr>
          <w:trHeight w:val="566"/>
        </w:trPr>
        <w:tc>
          <w:tcPr>
            <w:tcW w:w="3510" w:type="dxa"/>
            <w:vAlign w:val="center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группы</w:t>
            </w:r>
          </w:p>
        </w:tc>
        <w:tc>
          <w:tcPr>
            <w:tcW w:w="6521" w:type="dxa"/>
            <w:vAlign w:val="center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3363" w:rsidRPr="00A56FA2" w:rsidTr="001D6304">
        <w:tc>
          <w:tcPr>
            <w:tcW w:w="3510" w:type="dxa"/>
            <w:vAlign w:val="center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521" w:type="dxa"/>
            <w:vAlign w:val="center"/>
          </w:tcPr>
          <w:p w:rsidR="00923363" w:rsidRPr="00A56FA2" w:rsidRDefault="00923363" w:rsidP="00923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августа </w:t>
            </w: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2024</w:t>
            </w:r>
          </w:p>
        </w:tc>
      </w:tr>
      <w:tr w:rsidR="00923363" w:rsidRPr="00A56FA2" w:rsidTr="001D6304">
        <w:tc>
          <w:tcPr>
            <w:tcW w:w="3510" w:type="dxa"/>
            <w:vAlign w:val="center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521" w:type="dxa"/>
            <w:vAlign w:val="center"/>
          </w:tcPr>
          <w:p w:rsidR="00923363" w:rsidRPr="00A56FA2" w:rsidRDefault="00923363" w:rsidP="001D6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5F73AA" w:rsidTr="005F73AA">
        <w:tc>
          <w:tcPr>
            <w:tcW w:w="817" w:type="dxa"/>
          </w:tcPr>
          <w:p w:rsidR="005F73AA" w:rsidRDefault="005F73AA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sz w:val="30"/>
                <w:szCs w:val="30"/>
              </w:rPr>
              <w:t>1.</w:t>
            </w:r>
          </w:p>
        </w:tc>
        <w:tc>
          <w:tcPr>
            <w:tcW w:w="7655" w:type="dxa"/>
          </w:tcPr>
          <w:p w:rsidR="005F73AA" w:rsidRDefault="005F73AA" w:rsidP="00923363">
            <w:pPr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Информационная гигиена или как не стать жертвой дезинформации (</w:t>
            </w:r>
            <w:r w:rsidR="0092336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</w:t>
            </w:r>
            <w:r w:rsidR="00923363" w:rsidRPr="0092336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резентаци</w:t>
            </w:r>
            <w:r w:rsidR="0092336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я прилагается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)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099" w:type="dxa"/>
          </w:tcPr>
          <w:p w:rsidR="005F73AA" w:rsidRDefault="005F73AA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</w:t>
            </w:r>
          </w:p>
        </w:tc>
      </w:tr>
      <w:tr w:rsidR="001B7FD1" w:rsidTr="005F73AA">
        <w:tc>
          <w:tcPr>
            <w:tcW w:w="817" w:type="dxa"/>
          </w:tcPr>
          <w:p w:rsidR="001B7FD1" w:rsidRDefault="001B7FD1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sz w:val="30"/>
                <w:szCs w:val="30"/>
              </w:rPr>
              <w:t>2.</w:t>
            </w:r>
          </w:p>
        </w:tc>
        <w:tc>
          <w:tcPr>
            <w:tcW w:w="7655" w:type="dxa"/>
          </w:tcPr>
          <w:p w:rsidR="001B7FD1" w:rsidRPr="00127522" w:rsidRDefault="001B7FD1" w:rsidP="001B7FD1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аслуга</w:t>
            </w:r>
            <w:proofErr w:type="spellEnd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1099" w:type="dxa"/>
          </w:tcPr>
          <w:p w:rsidR="001B7FD1" w:rsidRDefault="001B7FD1" w:rsidP="00B468EA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</w:t>
            </w:r>
            <w:r w:rsidR="00B468EA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</w:p>
        </w:tc>
      </w:tr>
      <w:tr w:rsidR="005F73AA" w:rsidTr="005F73AA">
        <w:tc>
          <w:tcPr>
            <w:tcW w:w="817" w:type="dxa"/>
          </w:tcPr>
          <w:p w:rsidR="005F73AA" w:rsidRDefault="001B7FD1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sz w:val="30"/>
                <w:szCs w:val="30"/>
              </w:rPr>
              <w:t>3.</w:t>
            </w:r>
          </w:p>
        </w:tc>
        <w:tc>
          <w:tcPr>
            <w:tcW w:w="7655" w:type="dxa"/>
          </w:tcPr>
          <w:p w:rsidR="005F73AA" w:rsidRDefault="001B7FD1" w:rsidP="001B7FD1">
            <w:pPr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bookmarkStart w:id="1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 принимаемых мерах по борьбе с коррупцией</w:t>
            </w:r>
            <w:bookmarkEnd w:id="1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                                     </w:t>
            </w:r>
          </w:p>
        </w:tc>
        <w:tc>
          <w:tcPr>
            <w:tcW w:w="1099" w:type="dxa"/>
          </w:tcPr>
          <w:p w:rsidR="005F73AA" w:rsidRDefault="001B7FD1" w:rsidP="00B468EA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="00B468EA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</w:p>
        </w:tc>
      </w:tr>
      <w:tr w:rsidR="001B7FD1" w:rsidTr="005F73AA">
        <w:tc>
          <w:tcPr>
            <w:tcW w:w="817" w:type="dxa"/>
          </w:tcPr>
          <w:p w:rsidR="001B7FD1" w:rsidRDefault="001B7FD1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sz w:val="30"/>
                <w:szCs w:val="30"/>
              </w:rPr>
              <w:t>4.</w:t>
            </w:r>
          </w:p>
        </w:tc>
        <w:tc>
          <w:tcPr>
            <w:tcW w:w="7655" w:type="dxa"/>
          </w:tcPr>
          <w:p w:rsidR="001B7FD1" w:rsidRPr="00127522" w:rsidRDefault="001B7FD1" w:rsidP="001B7FD1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bookmarkStart w:id="2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в Трудовом Кодексе Республики Беларусь</w:t>
            </w:r>
            <w:bookmarkEnd w:id="2"/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1B7FD1" w:rsidRDefault="001B7FD1" w:rsidP="00B468EA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="00B468EA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1B7FD1" w:rsidTr="005F73AA">
        <w:tc>
          <w:tcPr>
            <w:tcW w:w="817" w:type="dxa"/>
          </w:tcPr>
          <w:p w:rsidR="001B7FD1" w:rsidRDefault="001B7FD1" w:rsidP="00A056EB">
            <w:pPr>
              <w:jc w:val="center"/>
              <w:rPr>
                <w:rFonts w:ascii="Times New Roman" w:eastAsia="Calibri" w:hAnsi="Times New Roman" w:cs="Calibri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sz w:val="30"/>
                <w:szCs w:val="30"/>
              </w:rPr>
              <w:t>5.</w:t>
            </w:r>
          </w:p>
        </w:tc>
        <w:tc>
          <w:tcPr>
            <w:tcW w:w="7655" w:type="dxa"/>
          </w:tcPr>
          <w:p w:rsidR="001B7FD1" w:rsidRDefault="001B7FD1" w:rsidP="001B7FD1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                                                     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                      </w:t>
            </w:r>
          </w:p>
        </w:tc>
        <w:tc>
          <w:tcPr>
            <w:tcW w:w="1099" w:type="dxa"/>
          </w:tcPr>
          <w:p w:rsidR="001B7FD1" w:rsidRDefault="001B7FD1" w:rsidP="00B468EA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3</w:t>
            </w:r>
            <w:r w:rsidR="00B468EA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</w:t>
            </w:r>
          </w:p>
        </w:tc>
      </w:tr>
    </w:tbl>
    <w:p w:rsidR="005F73AA" w:rsidRPr="00A056EB" w:rsidRDefault="005F73AA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незаметно для себя не так давно перешли из индустриального общества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в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8950B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8950B3">
      <w:pPr>
        <w:spacing w:after="0" w:line="300" w:lineRule="exact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8950B3">
      <w:pPr>
        <w:spacing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«замыкание» ее на себя с тем, чтобы содержание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Эмоциональные опоры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 обычного вранья, клеветы или просто неточной информации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фейку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украинская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Министерства внутренних дел Республики Беларусь по профилактике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киберпреступлений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(аудио-, видеоролики,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инфографика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16. Информация МВД по профилактике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киберпреступлений</w:t>
      </w:r>
      <w:proofErr w:type="spellEnd"/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инфоповоды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8950B3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8950B3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20. Административная ответственность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Слайд 21. Уголовная ответственность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это новость в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посмотрите, кто ей поделился;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френдах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репост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за 6 месяцев 2024 г. – к 1 004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</w:t>
      </w:r>
    </w:p>
    <w:p w:rsidR="004F0773" w:rsidRPr="004F0773" w:rsidRDefault="004F0773" w:rsidP="008950B3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профильтруйте свои подписки, отпишитесь от бесполезного контента, пользуйтесь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блокировщиками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8950B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  <w:r w:rsidR="008950B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«друзьях» бота встречаются по большей части такие же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на день, на два. А потом все это развеется. Поэтому не надо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фейков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950B3" w:rsidRDefault="008950B3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629B" w:rsidRDefault="0086629B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A461C" w:rsidRDefault="000A461C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A461C" w:rsidRDefault="000A461C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3" w:name="_GoBack"/>
      <w:bookmarkEnd w:id="3"/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B468EA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B468EA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проведен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B468EA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B468EA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настройка уведомлений (почта, СМС,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мессенджеры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9A3FA6">
      <w:pPr>
        <w:spacing w:after="120" w:line="300" w:lineRule="exact"/>
        <w:ind w:right="-284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9A3FA6">
      <w:pPr>
        <w:spacing w:after="120" w:line="300" w:lineRule="exact"/>
        <w:ind w:right="-284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9A3FA6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B468EA">
      <w:pPr>
        <w:spacing w:after="0" w:line="300" w:lineRule="exact"/>
        <w:ind w:right="-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B468EA">
      <w:pPr>
        <w:numPr>
          <w:ilvl w:val="2"/>
          <w:numId w:val="32"/>
        </w:numPr>
        <w:spacing w:after="0" w:line="300" w:lineRule="exact"/>
        <w:ind w:left="0" w:right="-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B468EA">
      <w:pPr>
        <w:numPr>
          <w:ilvl w:val="2"/>
          <w:numId w:val="32"/>
        </w:numPr>
        <w:spacing w:after="0" w:line="300" w:lineRule="exact"/>
        <w:ind w:left="0" w:right="-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B468EA">
      <w:pPr>
        <w:numPr>
          <w:ilvl w:val="2"/>
          <w:numId w:val="32"/>
        </w:numPr>
        <w:spacing w:after="0" w:line="300" w:lineRule="exact"/>
        <w:ind w:left="0" w:right="-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B468EA">
      <w:pPr>
        <w:numPr>
          <w:ilvl w:val="2"/>
          <w:numId w:val="32"/>
        </w:numPr>
        <w:spacing w:after="0" w:line="300" w:lineRule="exact"/>
        <w:ind w:left="0" w:right="-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B468EA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A3FA6" w:rsidRDefault="009A3FA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AE3914" w:rsidRDefault="00AE3914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468EA" w:rsidRDefault="00B468E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468EA" w:rsidRDefault="00B468E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468EA" w:rsidRDefault="00B468E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468EA" w:rsidRDefault="00B468E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468EA" w:rsidRDefault="00B468E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9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10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1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2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3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4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5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6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7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8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9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20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направления нанимателя на обучение предоставление гарантий работнику в связи с обучением осуществляется на основании 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3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4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9A3FA6" w:rsidRDefault="009B67E0" w:rsidP="009A3FA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5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  <w:proofErr w:type="gramEnd"/>
    </w:p>
    <w:p w:rsidR="009B67E0" w:rsidRPr="004352BC" w:rsidRDefault="009B67E0" w:rsidP="009A3FA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7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8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9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Pr="009A3FA6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FA6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Обязанность нанимателя обеспечивать </w:t>
      </w:r>
    </w:p>
    <w:p w:rsidR="009B67E0" w:rsidRPr="009A3FA6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b/>
          <w:sz w:val="28"/>
          <w:szCs w:val="28"/>
        </w:rPr>
        <w:t>прохождение аттестации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proofErr w:type="gramEnd"/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30" w:anchor="a9518" w:tooltip="+" w:history="1">
        <w:r w:rsidRPr="009A3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п.15</w:t>
        </w:r>
      </w:hyperlink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ст.55 ТК).</w:t>
      </w:r>
    </w:p>
    <w:p w:rsidR="009B67E0" w:rsidRPr="009A3FA6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11"/>
      <w:bookmarkEnd w:id="15"/>
      <w:r w:rsidRPr="009A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дубликата трудовой книжки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1" w:anchor="a8517" w:tooltip="+" w:history="1">
        <w:r w:rsidRPr="009A3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ст.50</w:t>
        </w:r>
      </w:hyperlink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ТК).</w:t>
      </w:r>
      <w:proofErr w:type="gramEnd"/>
    </w:p>
    <w:p w:rsidR="009B67E0" w:rsidRPr="009A3FA6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12"/>
      <w:bookmarkEnd w:id="16"/>
      <w:r w:rsidRPr="009A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Единовременная выплата на оздоровление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2" w:anchor="a9928" w:tooltip="+" w:history="1">
        <w:r w:rsidRPr="009A3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ст.182</w:t>
        </w:r>
      </w:hyperlink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ТК).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9B67E0" w:rsidRPr="009A3FA6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13"/>
      <w:bookmarkEnd w:id="17"/>
      <w:r w:rsidRPr="009A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Работник, не допускающий нарушений дисциплины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A3FA6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3" w:anchor="a9287" w:tooltip="+" w:history="1">
        <w:r w:rsidRPr="009A3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ст.261</w:t>
        </w:r>
        <w:r w:rsidRPr="009A3FA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ТК).</w:t>
      </w:r>
    </w:p>
    <w:p w:rsidR="009B67E0" w:rsidRPr="009A3FA6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14"/>
      <w:bookmarkEnd w:id="18"/>
      <w:r w:rsidRPr="009A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Гибкие условия рабочего времени</w:t>
      </w:r>
    </w:p>
    <w:p w:rsidR="009B67E0" w:rsidRPr="009A3FA6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4" w:anchor="a8107" w:tooltip="+" w:history="1">
        <w:r w:rsidRPr="009A3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ч.3</w:t>
        </w:r>
      </w:hyperlink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ст.129 ТК).</w:t>
      </w:r>
    </w:p>
    <w:p w:rsidR="00AD0C20" w:rsidRDefault="009B67E0" w:rsidP="009A3FA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A07AF3" w:rsidRDefault="00A07AF3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07AF3" w:rsidRDefault="00A07AF3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86629B" w:rsidRPr="007C2FBD" w:rsidRDefault="0086629B" w:rsidP="0086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Справочно</w:t>
      </w:r>
      <w:proofErr w:type="spellEnd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Чаусскому району: на текущий период 2024 года </w:t>
      </w:r>
      <w:proofErr w:type="gramStart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proofErr w:type="gramEnd"/>
    </w:p>
    <w:p w:rsidR="0086629B" w:rsidRPr="007C2FBD" w:rsidRDefault="0086629B" w:rsidP="0086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территории Чаусского района произошло 15 пожаров (на текущий период 2023 года – 15 пожаров, всего – 31 пожар), от которых погибло 2 человека (на текущий период 2023 – погибло 2 человека, всего – 5 погибших). </w:t>
      </w:r>
    </w:p>
    <w:p w:rsidR="0086629B" w:rsidRPr="007C2FBD" w:rsidRDefault="0086629B" w:rsidP="00866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Основные причины пожаров в Чаусском районе: неосторожное обращение с огнем -2  </w:t>
      </w:r>
      <w:proofErr w:type="gramStart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2023 - 9), нарушение правил эксплуатации печей, теплогенерирующих агрегатов и устройств - 3 (в 2023-5), нарушение правил эксплуатации электросетей и электрооборудования – 4, (в 2023-8), в 2024 году поджогов не было ( в 2023 -1), другие причины – 1 (в 2023- 8),  детская шалость с огнем 1 (в 2023 - 2), возгорание  </w:t>
      </w:r>
      <w:proofErr w:type="spellStart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техсредств</w:t>
      </w:r>
      <w:proofErr w:type="spellEnd"/>
      <w:r w:rsidRPr="007C2F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3 (в 2023- 0).</w:t>
      </w:r>
    </w:p>
    <w:p w:rsidR="0086629B" w:rsidRDefault="0086629B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64B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9" w:name="_Hlk97821530"/>
    </w:p>
    <w:bookmarkEnd w:id="19"/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63" w:rsidRDefault="00C12963" w:rsidP="007534C3">
      <w:pPr>
        <w:spacing w:after="0" w:line="240" w:lineRule="auto"/>
      </w:pPr>
      <w:r>
        <w:separator/>
      </w:r>
    </w:p>
  </w:endnote>
  <w:endnote w:type="continuationSeparator" w:id="0">
    <w:p w:rsidR="00C12963" w:rsidRDefault="00C12963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63" w:rsidRDefault="00C12963" w:rsidP="007534C3">
      <w:pPr>
        <w:spacing w:after="0" w:line="240" w:lineRule="auto"/>
      </w:pPr>
      <w:r>
        <w:separator/>
      </w:r>
    </w:p>
  </w:footnote>
  <w:footnote w:type="continuationSeparator" w:id="0">
    <w:p w:rsidR="00C12963" w:rsidRDefault="00C12963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7311" w:rsidRPr="007534C3" w:rsidRDefault="009A7311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0A461C">
          <w:rPr>
            <w:rFonts w:ascii="Times New Roman" w:hAnsi="Times New Roman" w:cs="Times New Roman"/>
            <w:noProof/>
          </w:rPr>
          <w:t>14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9A7311" w:rsidRDefault="009A73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A461C"/>
    <w:rsid w:val="000D0D2D"/>
    <w:rsid w:val="000F7B9F"/>
    <w:rsid w:val="00125B78"/>
    <w:rsid w:val="00127522"/>
    <w:rsid w:val="001B7FD1"/>
    <w:rsid w:val="002A00E8"/>
    <w:rsid w:val="002A0C68"/>
    <w:rsid w:val="002F3AD8"/>
    <w:rsid w:val="00301D2C"/>
    <w:rsid w:val="00323B0F"/>
    <w:rsid w:val="003F2A15"/>
    <w:rsid w:val="00416F04"/>
    <w:rsid w:val="004352BC"/>
    <w:rsid w:val="004B00DB"/>
    <w:rsid w:val="004E37D9"/>
    <w:rsid w:val="004E5313"/>
    <w:rsid w:val="004F0773"/>
    <w:rsid w:val="00534B74"/>
    <w:rsid w:val="00550AFD"/>
    <w:rsid w:val="00573974"/>
    <w:rsid w:val="005C3E00"/>
    <w:rsid w:val="005F73AA"/>
    <w:rsid w:val="00681618"/>
    <w:rsid w:val="007534C3"/>
    <w:rsid w:val="0086629B"/>
    <w:rsid w:val="008950B3"/>
    <w:rsid w:val="008A2602"/>
    <w:rsid w:val="008B148A"/>
    <w:rsid w:val="00917903"/>
    <w:rsid w:val="00923363"/>
    <w:rsid w:val="00957282"/>
    <w:rsid w:val="009573EA"/>
    <w:rsid w:val="00962A9B"/>
    <w:rsid w:val="009A3FA6"/>
    <w:rsid w:val="009A7311"/>
    <w:rsid w:val="009B67E0"/>
    <w:rsid w:val="009C51CE"/>
    <w:rsid w:val="00A056EB"/>
    <w:rsid w:val="00A07AF3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AE3914"/>
    <w:rsid w:val="00B468EA"/>
    <w:rsid w:val="00B65E6C"/>
    <w:rsid w:val="00B7264A"/>
    <w:rsid w:val="00BB5956"/>
    <w:rsid w:val="00C07AF7"/>
    <w:rsid w:val="00C12963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cuments\tx.dll%3fd=33380&amp;a=9920" TargetMode="External"/><Relationship Id="rId18" Type="http://schemas.openxmlformats.org/officeDocument/2006/relationships/hyperlink" Target="file:///C:\Users\User\Documents\tx.dll%3fd=33380&amp;a=3808" TargetMode="External"/><Relationship Id="rId26" Type="http://schemas.openxmlformats.org/officeDocument/2006/relationships/hyperlink" Target="file:///C:\Users\User\Documents\tx.dll%3fd=33380&amp;a=9926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cuments\tx.dll%3fd=33380&amp;a=8413" TargetMode="External"/><Relationship Id="rId34" Type="http://schemas.openxmlformats.org/officeDocument/2006/relationships/hyperlink" Target="file:///C:\Users\User\Documents\tx.dll%3fd=33380&amp;a=8107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ocuments\tx.dll%3fd=33380&amp;a=9919" TargetMode="External"/><Relationship Id="rId17" Type="http://schemas.openxmlformats.org/officeDocument/2006/relationships/hyperlink" Target="file:///C:\Users\User\Documents\tx.dll%3fd=33380&amp;a=6869" TargetMode="External"/><Relationship Id="rId25" Type="http://schemas.openxmlformats.org/officeDocument/2006/relationships/hyperlink" Target="file:///C:\Users\User\Documents\tx.dll%3fd=33380&amp;a=2601" TargetMode="External"/><Relationship Id="rId33" Type="http://schemas.openxmlformats.org/officeDocument/2006/relationships/hyperlink" Target="file:///C:\Users\User\Documents\tx.dll%3fd=33380&amp;a=928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tx.dll%3fd=33380&amp;a=6993" TargetMode="External"/><Relationship Id="rId20" Type="http://schemas.openxmlformats.org/officeDocument/2006/relationships/hyperlink" Target="file:///C:\Users\User\Documents\tx.dll%3fd=204095&amp;a=1" TargetMode="External"/><Relationship Id="rId29" Type="http://schemas.openxmlformats.org/officeDocument/2006/relationships/hyperlink" Target="file:///C:\Users\User\Documents\tx.dll%3fd=33380&amp;a=99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cuments\tx.dll%3fd=385418&amp;a=2" TargetMode="External"/><Relationship Id="rId24" Type="http://schemas.openxmlformats.org/officeDocument/2006/relationships/hyperlink" Target="file:///C:\Users\User\Documents\tx.dll%3fd=33380&amp;a=9925" TargetMode="External"/><Relationship Id="rId32" Type="http://schemas.openxmlformats.org/officeDocument/2006/relationships/hyperlink" Target="file:///C:\Users\User\Documents\tx.dll%3fd=33380&amp;a=9928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tx.dll%3fd=33380&amp;a=9729" TargetMode="External"/><Relationship Id="rId23" Type="http://schemas.openxmlformats.org/officeDocument/2006/relationships/hyperlink" Target="file:///C:\Users\User\Documents\tx.dll%3fd=33380&amp;a=9924" TargetMode="External"/><Relationship Id="rId28" Type="http://schemas.openxmlformats.org/officeDocument/2006/relationships/hyperlink" Target="file:///C:\Users\User\Documents\tx.dll%3fd=33380&amp;a=1361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ser\Documents\tx.dll%3fd=385418&amp;a=1" TargetMode="External"/><Relationship Id="rId19" Type="http://schemas.openxmlformats.org/officeDocument/2006/relationships/hyperlink" Target="file:///C:\Users\User\Documents\tx.dll%3fd=33380&amp;a=8412" TargetMode="External"/><Relationship Id="rId31" Type="http://schemas.openxmlformats.org/officeDocument/2006/relationships/hyperlink" Target="file:///C:\Users\User\Documents\tx.dll%3fd=33380&amp;a=85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cuments\tx.dll%3fd=33380&amp;a=6676" TargetMode="External"/><Relationship Id="rId14" Type="http://schemas.openxmlformats.org/officeDocument/2006/relationships/hyperlink" Target="file:///C:\Users\User\Documents\tx.dll%3fd=33380&amp;a=9921" TargetMode="External"/><Relationship Id="rId22" Type="http://schemas.openxmlformats.org/officeDocument/2006/relationships/hyperlink" Target="file:///C:\Users\User\Documents\tx.dll%3fd=33380&amp;a=9923" TargetMode="External"/><Relationship Id="rId27" Type="http://schemas.openxmlformats.org/officeDocument/2006/relationships/hyperlink" Target="file:///C:\Users\User\Documents\tx.dll%3fd=33380&amp;a=9926" TargetMode="External"/><Relationship Id="rId30" Type="http://schemas.openxmlformats.org/officeDocument/2006/relationships/hyperlink" Target="file:///C:\Users\User\Documents\tx.dll%3fd=33380&amp;a=951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9571-4899-44D1-ACDE-7BD275E8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11883</Words>
  <Characters>67735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79460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xXx</cp:lastModifiedBy>
  <cp:revision>9</cp:revision>
  <cp:lastPrinted>2024-08-13T14:01:00Z</cp:lastPrinted>
  <dcterms:created xsi:type="dcterms:W3CDTF">2024-08-13T13:47:00Z</dcterms:created>
  <dcterms:modified xsi:type="dcterms:W3CDTF">2024-08-13T14:48:00Z</dcterms:modified>
</cp:coreProperties>
</file>